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89EA" w14:textId="77777777" w:rsidR="0061150E" w:rsidRPr="00A643E2" w:rsidRDefault="0061150E" w:rsidP="0061150E">
      <w:pPr>
        <w:pStyle w:val="ListParagraph"/>
        <w:rPr>
          <w:rFonts w:ascii="Geometr415 Lt BT" w:hAnsi="Geometr415 Lt BT"/>
          <w:sz w:val="18"/>
          <w:szCs w:val="18"/>
        </w:rPr>
      </w:pPr>
    </w:p>
    <w:p w14:paraId="4F99A475" w14:textId="77777777" w:rsidR="0061150E" w:rsidRPr="00A643E2" w:rsidRDefault="0061150E" w:rsidP="00A643E2">
      <w:pPr>
        <w:rPr>
          <w:rFonts w:ascii="Geometr415 Lt BT" w:hAnsi="Geometr415 Lt BT"/>
          <w:sz w:val="24"/>
          <w:szCs w:val="24"/>
        </w:rPr>
      </w:pPr>
      <w:r w:rsidRPr="00A643E2">
        <w:rPr>
          <w:rFonts w:ascii="Geometr415 Lt BT" w:hAnsi="Geometr415 Lt BT"/>
          <w:b/>
          <w:sz w:val="24"/>
          <w:szCs w:val="24"/>
        </w:rPr>
        <w:t>Option One</w:t>
      </w:r>
      <w:r w:rsidRPr="00A643E2">
        <w:rPr>
          <w:rFonts w:ascii="Geometr415 Lt BT" w:hAnsi="Geometr415 Lt BT"/>
          <w:sz w:val="24"/>
          <w:szCs w:val="24"/>
        </w:rPr>
        <w:t xml:space="preserve"> – using the grade descriptions below, ‘RAG’ </w:t>
      </w:r>
      <w:proofErr w:type="gramStart"/>
      <w:r w:rsidRPr="00A643E2">
        <w:rPr>
          <w:rFonts w:ascii="Geometr415 Lt BT" w:hAnsi="Geometr415 Lt BT"/>
          <w:sz w:val="24"/>
          <w:szCs w:val="24"/>
        </w:rPr>
        <w:t>rate</w:t>
      </w:r>
      <w:proofErr w:type="gramEnd"/>
      <w:r w:rsidRPr="00A643E2">
        <w:rPr>
          <w:rFonts w:ascii="Geometr415 Lt BT" w:hAnsi="Geometr415 Lt BT"/>
          <w:sz w:val="24"/>
          <w:szCs w:val="24"/>
        </w:rPr>
        <w:t xml:space="preserve"> the description that is the best fit for your school.  Start with the descriptors for ‘Good’.</w:t>
      </w:r>
    </w:p>
    <w:tbl>
      <w:tblPr>
        <w:tblStyle w:val="TableGrid"/>
        <w:tblW w:w="14454" w:type="dxa"/>
        <w:tblLook w:val="04A0" w:firstRow="1" w:lastRow="0" w:firstColumn="1" w:lastColumn="0" w:noHBand="0" w:noVBand="1"/>
      </w:tblPr>
      <w:tblGrid>
        <w:gridCol w:w="3823"/>
        <w:gridCol w:w="3827"/>
        <w:gridCol w:w="3685"/>
        <w:gridCol w:w="3119"/>
      </w:tblGrid>
      <w:tr w:rsidR="0061150E" w:rsidRPr="00A643E2" w14:paraId="0D8D6320" w14:textId="77777777" w:rsidTr="00E330D4">
        <w:tc>
          <w:tcPr>
            <w:tcW w:w="3823" w:type="dxa"/>
          </w:tcPr>
          <w:p w14:paraId="5446FD29" w14:textId="77777777" w:rsidR="0061150E" w:rsidRPr="00E62652" w:rsidRDefault="0061150E">
            <w:pPr>
              <w:rPr>
                <w:rFonts w:ascii="Geometr415 Lt BT" w:hAnsi="Geometr415 Lt BT"/>
                <w:highlight w:val="cyan"/>
              </w:rPr>
            </w:pPr>
            <w:r w:rsidRPr="00E62652">
              <w:rPr>
                <w:rFonts w:ascii="Geometr415 Lt BT" w:hAnsi="Geometr415 Lt BT"/>
                <w:highlight w:val="cyan"/>
              </w:rPr>
              <w:t>Outstanding</w:t>
            </w:r>
          </w:p>
        </w:tc>
        <w:tc>
          <w:tcPr>
            <w:tcW w:w="3827" w:type="dxa"/>
          </w:tcPr>
          <w:p w14:paraId="426AF3DF" w14:textId="77777777" w:rsidR="0061150E" w:rsidRPr="00E62652" w:rsidRDefault="0061150E">
            <w:pPr>
              <w:rPr>
                <w:rFonts w:ascii="Geometr415 Lt BT" w:hAnsi="Geometr415 Lt BT"/>
                <w:highlight w:val="green"/>
              </w:rPr>
            </w:pPr>
            <w:r w:rsidRPr="00E62652">
              <w:rPr>
                <w:rFonts w:ascii="Geometr415 Lt BT" w:hAnsi="Geometr415 Lt BT"/>
                <w:highlight w:val="green"/>
              </w:rPr>
              <w:t>Good</w:t>
            </w:r>
          </w:p>
        </w:tc>
        <w:tc>
          <w:tcPr>
            <w:tcW w:w="3685" w:type="dxa"/>
          </w:tcPr>
          <w:p w14:paraId="1C1A9405" w14:textId="77777777" w:rsidR="0061150E" w:rsidRPr="00E62652" w:rsidRDefault="0061150E">
            <w:pPr>
              <w:rPr>
                <w:rFonts w:ascii="Geometr415 Lt BT" w:hAnsi="Geometr415 Lt BT"/>
                <w:highlight w:val="yellow"/>
              </w:rPr>
            </w:pPr>
            <w:r w:rsidRPr="00E62652">
              <w:rPr>
                <w:rFonts w:ascii="Geometr415 Lt BT" w:hAnsi="Geometr415 Lt BT"/>
                <w:highlight w:val="yellow"/>
              </w:rPr>
              <w:t xml:space="preserve">Requires Improvement </w:t>
            </w:r>
          </w:p>
        </w:tc>
        <w:tc>
          <w:tcPr>
            <w:tcW w:w="3119" w:type="dxa"/>
          </w:tcPr>
          <w:p w14:paraId="42AD4DC5" w14:textId="77777777" w:rsidR="0061150E" w:rsidRPr="00E62652" w:rsidRDefault="0061150E">
            <w:pPr>
              <w:rPr>
                <w:rFonts w:ascii="Geometr415 Lt BT" w:hAnsi="Geometr415 Lt BT"/>
                <w:highlight w:val="red"/>
              </w:rPr>
            </w:pPr>
            <w:r w:rsidRPr="00E62652">
              <w:rPr>
                <w:rFonts w:ascii="Geometr415 Lt BT" w:hAnsi="Geometr415 Lt BT"/>
                <w:highlight w:val="red"/>
              </w:rPr>
              <w:t>Inadequate</w:t>
            </w:r>
          </w:p>
        </w:tc>
      </w:tr>
      <w:tr w:rsidR="0061150E" w:rsidRPr="00A643E2" w14:paraId="25F56CC8" w14:textId="77777777" w:rsidTr="00E330D4">
        <w:tc>
          <w:tcPr>
            <w:tcW w:w="3823" w:type="dxa"/>
          </w:tcPr>
          <w:p w14:paraId="04206CF7" w14:textId="77777777" w:rsidR="0061150E" w:rsidRPr="00E62652" w:rsidRDefault="0061150E">
            <w:pPr>
              <w:rPr>
                <w:rFonts w:ascii="Geometr415 Lt BT" w:hAnsi="Geometr415 Lt BT"/>
                <w:highlight w:val="cyan"/>
              </w:rPr>
            </w:pPr>
            <w:r w:rsidRPr="00E62652">
              <w:rPr>
                <w:rFonts w:ascii="Geometr415 Lt BT" w:hAnsi="Geometr415 Lt BT"/>
                <w:highlight w:val="cyan"/>
              </w:rPr>
              <w:t>Teachers have a high level of confidence based on authentic subject knowledge and teaching expertise, appropriate to the phase in which they are teaching.</w:t>
            </w:r>
          </w:p>
        </w:tc>
        <w:tc>
          <w:tcPr>
            <w:tcW w:w="3827" w:type="dxa"/>
          </w:tcPr>
          <w:p w14:paraId="6B00E4E5" w14:textId="77777777" w:rsidR="0061150E" w:rsidRPr="00E62652" w:rsidRDefault="0061150E">
            <w:pPr>
              <w:rPr>
                <w:rFonts w:ascii="Geometr415 Lt BT" w:hAnsi="Geometr415 Lt BT"/>
                <w:highlight w:val="green"/>
              </w:rPr>
            </w:pPr>
            <w:r w:rsidRPr="00E62652">
              <w:rPr>
                <w:rFonts w:ascii="Geometr415 Lt BT" w:hAnsi="Geometr415 Lt BT"/>
                <w:highlight w:val="green"/>
              </w:rPr>
              <w:t>Teachers are confident in their subject knowledge and have a good understanding of how pupils learn, appropriate to the phase in which they are teaching.</w:t>
            </w:r>
          </w:p>
        </w:tc>
        <w:tc>
          <w:tcPr>
            <w:tcW w:w="3685" w:type="dxa"/>
          </w:tcPr>
          <w:p w14:paraId="1C5A02A1" w14:textId="77777777" w:rsidR="0061150E" w:rsidRPr="00E62652" w:rsidRDefault="00121059">
            <w:pPr>
              <w:rPr>
                <w:rFonts w:ascii="Geometr415 Lt BT" w:hAnsi="Geometr415 Lt BT"/>
                <w:highlight w:val="yellow"/>
              </w:rPr>
            </w:pPr>
            <w:r w:rsidRPr="00E62652">
              <w:rPr>
                <w:rFonts w:ascii="Geometr415 Lt BT" w:hAnsi="Geometr415 Lt BT"/>
                <w:highlight w:val="yellow"/>
              </w:rPr>
              <w:t>Teachers have insufficient subject knowledge or a limited understanding of how pupils learn. They are insufficiently prepared to lead the learning in religious education.</w:t>
            </w:r>
          </w:p>
        </w:tc>
        <w:tc>
          <w:tcPr>
            <w:tcW w:w="3119" w:type="dxa"/>
          </w:tcPr>
          <w:p w14:paraId="4423A172" w14:textId="77777777" w:rsidR="0061150E" w:rsidRPr="00E62652" w:rsidRDefault="00121059">
            <w:pPr>
              <w:rPr>
                <w:rFonts w:ascii="Geometr415 Lt BT" w:hAnsi="Geometr415 Lt BT"/>
                <w:highlight w:val="red"/>
              </w:rPr>
            </w:pPr>
            <w:r w:rsidRPr="00E62652">
              <w:rPr>
                <w:rFonts w:ascii="Geometr415 Lt BT" w:hAnsi="Geometr415 Lt BT"/>
                <w:highlight w:val="red"/>
              </w:rPr>
              <w:t>Teachers have little, if any, appropriate subject knowledge or no real understanding of how pupils learn. They are not equipped to lead the learning in religious education.</w:t>
            </w:r>
          </w:p>
        </w:tc>
      </w:tr>
      <w:tr w:rsidR="0061150E" w:rsidRPr="00A643E2" w14:paraId="4D0ABD86" w14:textId="77777777" w:rsidTr="00E330D4">
        <w:tc>
          <w:tcPr>
            <w:tcW w:w="3823" w:type="dxa"/>
          </w:tcPr>
          <w:p w14:paraId="535AEA61" w14:textId="77777777" w:rsidR="0061150E" w:rsidRPr="00E62652" w:rsidRDefault="0061150E">
            <w:pPr>
              <w:rPr>
                <w:rFonts w:ascii="Geometr415 Lt BT" w:hAnsi="Geometr415 Lt BT"/>
                <w:highlight w:val="cyan"/>
              </w:rPr>
            </w:pPr>
            <w:r w:rsidRPr="00E62652">
              <w:rPr>
                <w:rFonts w:ascii="Geometr415 Lt BT" w:hAnsi="Geometr415 Lt BT"/>
                <w:highlight w:val="cyan"/>
              </w:rPr>
              <w:t>Teachers demonstrate a deep commitment and high expectations for religious education and they communicate this highly effectively to their pupils.</w:t>
            </w:r>
          </w:p>
        </w:tc>
        <w:tc>
          <w:tcPr>
            <w:tcW w:w="3827" w:type="dxa"/>
          </w:tcPr>
          <w:p w14:paraId="61DE6E24" w14:textId="77777777" w:rsidR="0061150E" w:rsidRPr="00E62652" w:rsidRDefault="0061150E">
            <w:pPr>
              <w:rPr>
                <w:rFonts w:ascii="Geometr415 Lt BT" w:hAnsi="Geometr415 Lt BT"/>
                <w:highlight w:val="green"/>
              </w:rPr>
            </w:pPr>
            <w:r w:rsidRPr="00E62652">
              <w:rPr>
                <w:rFonts w:ascii="Geometr415 Lt BT" w:hAnsi="Geometr415 Lt BT"/>
                <w:highlight w:val="green"/>
              </w:rPr>
              <w:t>Teachers are committed to value of religious education and they communicate this effectively to their pupils.</w:t>
            </w:r>
          </w:p>
        </w:tc>
        <w:tc>
          <w:tcPr>
            <w:tcW w:w="3685" w:type="dxa"/>
          </w:tcPr>
          <w:p w14:paraId="2D34524A" w14:textId="77777777" w:rsidR="0061150E" w:rsidRPr="00E62652" w:rsidRDefault="00121059">
            <w:pPr>
              <w:rPr>
                <w:rFonts w:ascii="Geometr415 Lt BT" w:hAnsi="Geometr415 Lt BT"/>
                <w:highlight w:val="yellow"/>
              </w:rPr>
            </w:pPr>
            <w:r w:rsidRPr="00E62652">
              <w:rPr>
                <w:rFonts w:ascii="Geometr415 Lt BT" w:hAnsi="Geometr415 Lt BT"/>
                <w:highlight w:val="yellow"/>
              </w:rPr>
              <w:t>Teachers are passive in their commitment to religious education and this is communicated to their pupils.</w:t>
            </w:r>
          </w:p>
        </w:tc>
        <w:tc>
          <w:tcPr>
            <w:tcW w:w="3119" w:type="dxa"/>
          </w:tcPr>
          <w:p w14:paraId="4B45BA59" w14:textId="77777777" w:rsidR="0061150E" w:rsidRPr="00E62652" w:rsidRDefault="00121059">
            <w:pPr>
              <w:rPr>
                <w:rFonts w:ascii="Geometr415 Lt BT" w:hAnsi="Geometr415 Lt BT"/>
                <w:highlight w:val="red"/>
              </w:rPr>
            </w:pPr>
            <w:r w:rsidRPr="00E62652">
              <w:rPr>
                <w:rFonts w:ascii="Geometr415 Lt BT" w:hAnsi="Geometr415 Lt BT"/>
                <w:highlight w:val="red"/>
              </w:rPr>
              <w:t>Teachers lack commitment to religious education.</w:t>
            </w:r>
          </w:p>
        </w:tc>
      </w:tr>
      <w:tr w:rsidR="0061150E" w:rsidRPr="00A643E2" w14:paraId="340DD38A" w14:textId="77777777" w:rsidTr="00E330D4">
        <w:tc>
          <w:tcPr>
            <w:tcW w:w="3823" w:type="dxa"/>
          </w:tcPr>
          <w:p w14:paraId="3015ABAD" w14:textId="77777777" w:rsidR="0061150E" w:rsidRPr="00E62652" w:rsidRDefault="0061150E">
            <w:pPr>
              <w:rPr>
                <w:rFonts w:ascii="Geometr415 Lt BT" w:hAnsi="Geometr415 Lt BT"/>
                <w:highlight w:val="cyan"/>
              </w:rPr>
            </w:pPr>
            <w:r w:rsidRPr="00E62652">
              <w:rPr>
                <w:rFonts w:ascii="Geometr415 Lt BT" w:hAnsi="Geometr415 Lt BT"/>
                <w:highlight w:val="cyan"/>
              </w:rPr>
              <w:t>Planning is linked to pupils’ current assessment and their knowledge of the individual, such that lessons consolidate and extend pupils’ knowledge and understanding, so that they learn extremely well.</w:t>
            </w:r>
          </w:p>
        </w:tc>
        <w:tc>
          <w:tcPr>
            <w:tcW w:w="3827" w:type="dxa"/>
          </w:tcPr>
          <w:p w14:paraId="4A67D833" w14:textId="77777777" w:rsidR="0061150E" w:rsidRPr="00E62652" w:rsidRDefault="0061150E">
            <w:pPr>
              <w:rPr>
                <w:rFonts w:ascii="Geometr415 Lt BT" w:hAnsi="Geometr415 Lt BT"/>
                <w:highlight w:val="green"/>
              </w:rPr>
            </w:pPr>
            <w:r w:rsidRPr="00E62652">
              <w:rPr>
                <w:rFonts w:ascii="Geometr415 Lt BT" w:hAnsi="Geometr415 Lt BT"/>
                <w:highlight w:val="green"/>
              </w:rPr>
              <w:t>Planning is linked to pupils’ current assessment so that pupils learn well.</w:t>
            </w:r>
          </w:p>
        </w:tc>
        <w:tc>
          <w:tcPr>
            <w:tcW w:w="3685" w:type="dxa"/>
          </w:tcPr>
          <w:p w14:paraId="0CDDF9E4" w14:textId="77777777" w:rsidR="0061150E" w:rsidRPr="00E62652" w:rsidRDefault="00121059">
            <w:pPr>
              <w:rPr>
                <w:rFonts w:ascii="Geometr415 Lt BT" w:hAnsi="Geometr415 Lt BT"/>
                <w:highlight w:val="yellow"/>
              </w:rPr>
            </w:pPr>
            <w:r w:rsidRPr="00E62652">
              <w:rPr>
                <w:rFonts w:ascii="Geometr415 Lt BT" w:hAnsi="Geometr415 Lt BT"/>
                <w:highlight w:val="yellow"/>
              </w:rPr>
              <w:t>Planning is not always linked to pupils’ current assessment such that learning is limited.</w:t>
            </w:r>
          </w:p>
        </w:tc>
        <w:tc>
          <w:tcPr>
            <w:tcW w:w="3119" w:type="dxa"/>
          </w:tcPr>
          <w:p w14:paraId="3AC85FBE" w14:textId="77777777" w:rsidR="0061150E" w:rsidRPr="00E62652" w:rsidRDefault="00121059">
            <w:pPr>
              <w:rPr>
                <w:rFonts w:ascii="Geometr415 Lt BT" w:hAnsi="Geometr415 Lt BT"/>
                <w:highlight w:val="red"/>
              </w:rPr>
            </w:pPr>
            <w:r w:rsidRPr="00E62652">
              <w:rPr>
                <w:rFonts w:ascii="Geometr415 Lt BT" w:hAnsi="Geometr415 Lt BT"/>
                <w:highlight w:val="red"/>
              </w:rPr>
              <w:t>Planning is not linked to pupils’ current assessment.</w:t>
            </w:r>
          </w:p>
        </w:tc>
      </w:tr>
      <w:tr w:rsidR="0061150E" w:rsidRPr="00A643E2" w14:paraId="6C10045F" w14:textId="77777777" w:rsidTr="00E330D4">
        <w:tc>
          <w:tcPr>
            <w:tcW w:w="3823" w:type="dxa"/>
          </w:tcPr>
          <w:p w14:paraId="117934F8" w14:textId="77777777" w:rsidR="0061150E" w:rsidRPr="00E62652" w:rsidRDefault="0061150E">
            <w:pPr>
              <w:rPr>
                <w:rFonts w:ascii="Geometr415 Lt BT" w:hAnsi="Geometr415 Lt BT"/>
                <w:highlight w:val="cyan"/>
              </w:rPr>
            </w:pPr>
            <w:r w:rsidRPr="00E62652">
              <w:rPr>
                <w:rFonts w:ascii="Geometr415 Lt BT" w:hAnsi="Geometr415 Lt BT"/>
                <w:highlight w:val="cyan"/>
              </w:rPr>
              <w:t xml:space="preserve">Teachers use questioning </w:t>
            </w:r>
            <w:proofErr w:type="spellStart"/>
            <w:r w:rsidRPr="00E62652">
              <w:rPr>
                <w:rFonts w:ascii="Geometr415 Lt BT" w:hAnsi="Geometr415 Lt BT"/>
                <w:highlight w:val="cyan"/>
              </w:rPr>
              <w:t>skillfully</w:t>
            </w:r>
            <w:proofErr w:type="spellEnd"/>
            <w:r w:rsidRPr="00E62652">
              <w:rPr>
                <w:rFonts w:ascii="Geometr415 Lt BT" w:hAnsi="Geometr415 Lt BT"/>
                <w:highlight w:val="cyan"/>
              </w:rPr>
              <w:t xml:space="preserve"> during lessons to identify precisely where pupils are in their understanding. As a result, they adapt explanations and tasks, thus increasing engagement and maximising learning for all pupils.</w:t>
            </w:r>
          </w:p>
        </w:tc>
        <w:tc>
          <w:tcPr>
            <w:tcW w:w="3827" w:type="dxa"/>
          </w:tcPr>
          <w:p w14:paraId="71F1CDC8" w14:textId="77777777" w:rsidR="0061150E" w:rsidRPr="00E62652" w:rsidRDefault="00121059">
            <w:pPr>
              <w:rPr>
                <w:rFonts w:ascii="Geometr415 Lt BT" w:hAnsi="Geometr415 Lt BT"/>
                <w:highlight w:val="green"/>
              </w:rPr>
            </w:pPr>
            <w:r w:rsidRPr="00E62652">
              <w:rPr>
                <w:rFonts w:ascii="Geometr415 Lt BT" w:hAnsi="Geometr415 Lt BT"/>
                <w:highlight w:val="green"/>
              </w:rPr>
              <w:t>Teachers use questioning during lessons to identify where pupils are in their understanding. As a result, they adapt explanations and tasks, thus improving learning for most pupils.</w:t>
            </w:r>
          </w:p>
        </w:tc>
        <w:tc>
          <w:tcPr>
            <w:tcW w:w="3685" w:type="dxa"/>
          </w:tcPr>
          <w:p w14:paraId="64705AA1" w14:textId="77777777" w:rsidR="0061150E" w:rsidRPr="00E62652" w:rsidRDefault="00121059">
            <w:pPr>
              <w:rPr>
                <w:rFonts w:ascii="Geometr415 Lt BT" w:hAnsi="Geometr415 Lt BT"/>
                <w:highlight w:val="yellow"/>
              </w:rPr>
            </w:pPr>
            <w:r w:rsidRPr="00E62652">
              <w:rPr>
                <w:rFonts w:ascii="Geometr415 Lt BT" w:hAnsi="Geometr415 Lt BT"/>
                <w:highlight w:val="yellow"/>
              </w:rPr>
              <w:t>Teachers’ skill in questioning is limited and/or their adaptation of explanations and tasks and explanations is minimal.</w:t>
            </w:r>
          </w:p>
        </w:tc>
        <w:tc>
          <w:tcPr>
            <w:tcW w:w="3119" w:type="dxa"/>
          </w:tcPr>
          <w:p w14:paraId="4551BEC2" w14:textId="77777777" w:rsidR="0061150E" w:rsidRPr="00E62652" w:rsidRDefault="00121059">
            <w:pPr>
              <w:rPr>
                <w:rFonts w:ascii="Geometr415 Lt BT" w:hAnsi="Geometr415 Lt BT"/>
                <w:highlight w:val="red"/>
              </w:rPr>
            </w:pPr>
            <w:r w:rsidRPr="00E62652">
              <w:rPr>
                <w:rFonts w:ascii="Geometr415 Lt BT" w:hAnsi="Geometr415 Lt BT"/>
                <w:highlight w:val="red"/>
              </w:rPr>
              <w:t>Teachers rarely ask questions and/or do not adapt explanations or tasks as a consequence of questioning.</w:t>
            </w:r>
          </w:p>
        </w:tc>
      </w:tr>
      <w:tr w:rsidR="0061150E" w:rsidRPr="00A643E2" w14:paraId="0DB212A7" w14:textId="77777777" w:rsidTr="00E330D4">
        <w:tc>
          <w:tcPr>
            <w:tcW w:w="3823" w:type="dxa"/>
          </w:tcPr>
          <w:p w14:paraId="3D849FEE" w14:textId="77777777" w:rsidR="0061150E" w:rsidRPr="00E62652" w:rsidRDefault="0061150E">
            <w:pPr>
              <w:rPr>
                <w:rFonts w:ascii="Geometr415 Lt BT" w:hAnsi="Geometr415 Lt BT"/>
                <w:highlight w:val="cyan"/>
              </w:rPr>
            </w:pPr>
            <w:r w:rsidRPr="00E62652">
              <w:rPr>
                <w:rFonts w:ascii="Geometr415 Lt BT" w:hAnsi="Geometr415 Lt BT"/>
                <w:highlight w:val="cyan"/>
              </w:rPr>
              <w:t xml:space="preserve">Celebration of effort is clearly evident, leading to high levels of motivation </w:t>
            </w:r>
            <w:r w:rsidRPr="00E62652">
              <w:rPr>
                <w:rFonts w:ascii="Geometr415 Lt BT" w:hAnsi="Geometr415 Lt BT"/>
                <w:highlight w:val="cyan"/>
              </w:rPr>
              <w:lastRenderedPageBreak/>
              <w:t>from pupils. Teachers provide pupils with relevant and specific feedback which ensures that all pupils clearly understand what they need to do to make progress in their learning.</w:t>
            </w:r>
          </w:p>
        </w:tc>
        <w:tc>
          <w:tcPr>
            <w:tcW w:w="3827" w:type="dxa"/>
          </w:tcPr>
          <w:p w14:paraId="23F84B33" w14:textId="77777777" w:rsidR="0061150E" w:rsidRPr="00E62652" w:rsidRDefault="00121059">
            <w:pPr>
              <w:rPr>
                <w:rFonts w:ascii="Geometr415 Lt BT" w:hAnsi="Geometr415 Lt BT"/>
                <w:highlight w:val="green"/>
              </w:rPr>
            </w:pPr>
            <w:r w:rsidRPr="00E62652">
              <w:rPr>
                <w:rFonts w:ascii="Geometr415 Lt BT" w:hAnsi="Geometr415 Lt BT"/>
                <w:highlight w:val="green"/>
              </w:rPr>
              <w:lastRenderedPageBreak/>
              <w:t xml:space="preserve">Pupil effort is often celebrated leading to good levels of motivation from </w:t>
            </w:r>
            <w:r w:rsidRPr="00E62652">
              <w:rPr>
                <w:rFonts w:ascii="Geometr415 Lt BT" w:hAnsi="Geometr415 Lt BT"/>
                <w:highlight w:val="green"/>
              </w:rPr>
              <w:lastRenderedPageBreak/>
              <w:t>pupils. Teachers provide pupils with feedback which ensures that most pupils understand what they need to do to make progress in their learning.</w:t>
            </w:r>
          </w:p>
        </w:tc>
        <w:tc>
          <w:tcPr>
            <w:tcW w:w="3685" w:type="dxa"/>
          </w:tcPr>
          <w:p w14:paraId="07699FEC" w14:textId="77777777" w:rsidR="0061150E" w:rsidRPr="00E62652" w:rsidRDefault="00121059">
            <w:pPr>
              <w:rPr>
                <w:rFonts w:ascii="Geometr415 Lt BT" w:hAnsi="Geometr415 Lt BT"/>
                <w:highlight w:val="yellow"/>
              </w:rPr>
            </w:pPr>
            <w:r w:rsidRPr="00E62652">
              <w:rPr>
                <w:rFonts w:ascii="Geometr415 Lt BT" w:hAnsi="Geometr415 Lt BT"/>
                <w:highlight w:val="yellow"/>
              </w:rPr>
              <w:lastRenderedPageBreak/>
              <w:t xml:space="preserve">Celebration of pupil effort is inconsistent. Teachers provide pupils </w:t>
            </w:r>
            <w:r w:rsidRPr="00E62652">
              <w:rPr>
                <w:rFonts w:ascii="Geometr415 Lt BT" w:hAnsi="Geometr415 Lt BT"/>
                <w:highlight w:val="yellow"/>
              </w:rPr>
              <w:lastRenderedPageBreak/>
              <w:t>with feedback, but this makes little difference to pupils’ understanding of how to make progress in their learning.</w:t>
            </w:r>
          </w:p>
        </w:tc>
        <w:tc>
          <w:tcPr>
            <w:tcW w:w="3119" w:type="dxa"/>
          </w:tcPr>
          <w:p w14:paraId="7A28E3A4" w14:textId="77777777" w:rsidR="0061150E" w:rsidRPr="00E62652" w:rsidRDefault="00121059">
            <w:pPr>
              <w:rPr>
                <w:rFonts w:ascii="Geometr415 Lt BT" w:hAnsi="Geometr415 Lt BT"/>
                <w:highlight w:val="red"/>
              </w:rPr>
            </w:pPr>
            <w:r w:rsidRPr="00E62652">
              <w:rPr>
                <w:rFonts w:ascii="Geometr415 Lt BT" w:hAnsi="Geometr415 Lt BT"/>
                <w:highlight w:val="red"/>
              </w:rPr>
              <w:lastRenderedPageBreak/>
              <w:t>There is no culture of celebration of effort. Feed-</w:t>
            </w:r>
            <w:r w:rsidRPr="00E62652">
              <w:rPr>
                <w:rFonts w:ascii="Geometr415 Lt BT" w:hAnsi="Geometr415 Lt BT"/>
                <w:highlight w:val="red"/>
              </w:rPr>
              <w:lastRenderedPageBreak/>
              <w:t>back rarely, if ever, happens and when given makes no difference to pupils’ understanding of how to make progress in their learning.</w:t>
            </w:r>
          </w:p>
        </w:tc>
      </w:tr>
      <w:tr w:rsidR="0061150E" w:rsidRPr="00A643E2" w14:paraId="18FC4157" w14:textId="77777777" w:rsidTr="00E330D4">
        <w:tc>
          <w:tcPr>
            <w:tcW w:w="3823" w:type="dxa"/>
          </w:tcPr>
          <w:p w14:paraId="03823EC1" w14:textId="77777777" w:rsidR="0061150E" w:rsidRPr="00E62652" w:rsidRDefault="0061150E">
            <w:pPr>
              <w:rPr>
                <w:rFonts w:ascii="Geometr415 Lt BT" w:hAnsi="Geometr415 Lt BT"/>
                <w:highlight w:val="cyan"/>
              </w:rPr>
            </w:pPr>
            <w:r w:rsidRPr="00E62652">
              <w:rPr>
                <w:rFonts w:ascii="Geometr415 Lt BT" w:hAnsi="Geometr415 Lt BT"/>
                <w:highlight w:val="cyan"/>
              </w:rPr>
              <w:lastRenderedPageBreak/>
              <w:t>Teachers have a profound understanding of the impact religious education has on the moral and spiritual development of pupils and their ability to meaningfully make sense of their experience of the world. Therefore, teachers give pupils space and time for purposeful reflection in lessons.</w:t>
            </w:r>
          </w:p>
        </w:tc>
        <w:tc>
          <w:tcPr>
            <w:tcW w:w="3827" w:type="dxa"/>
          </w:tcPr>
          <w:p w14:paraId="36AE1A6D" w14:textId="77777777" w:rsidR="0061150E" w:rsidRPr="00E62652" w:rsidRDefault="00121059">
            <w:pPr>
              <w:rPr>
                <w:rFonts w:ascii="Geometr415 Lt BT" w:hAnsi="Geometr415 Lt BT"/>
                <w:highlight w:val="green"/>
              </w:rPr>
            </w:pPr>
            <w:r w:rsidRPr="00E62652">
              <w:rPr>
                <w:rFonts w:ascii="Geometr415 Lt BT" w:hAnsi="Geometr415 Lt BT"/>
                <w:highlight w:val="green"/>
              </w:rPr>
              <w:t>Teachers recognise the impact religious education has on the moral and spiritual development of pupils. Therefore, teachers give pupils space and time for reflection in lessons.</w:t>
            </w:r>
          </w:p>
        </w:tc>
        <w:tc>
          <w:tcPr>
            <w:tcW w:w="3685" w:type="dxa"/>
          </w:tcPr>
          <w:p w14:paraId="503896CC" w14:textId="77777777" w:rsidR="0061150E" w:rsidRPr="00E62652" w:rsidRDefault="00121059">
            <w:pPr>
              <w:rPr>
                <w:rFonts w:ascii="Geometr415 Lt BT" w:hAnsi="Geometr415 Lt BT"/>
                <w:highlight w:val="yellow"/>
              </w:rPr>
            </w:pPr>
            <w:r w:rsidRPr="00E62652">
              <w:rPr>
                <w:rFonts w:ascii="Geometr415 Lt BT" w:hAnsi="Geometr415 Lt BT"/>
                <w:highlight w:val="yellow"/>
              </w:rPr>
              <w:t>Teachers have a limited understanding of the importance of religious education as a component of moral and spiritual development. As a consequence, they do not value, or make little time for reflection in lessons.</w:t>
            </w:r>
          </w:p>
        </w:tc>
        <w:tc>
          <w:tcPr>
            <w:tcW w:w="3119" w:type="dxa"/>
          </w:tcPr>
          <w:p w14:paraId="25FDE9BA" w14:textId="77777777" w:rsidR="0061150E" w:rsidRPr="00E62652" w:rsidRDefault="00121059">
            <w:pPr>
              <w:rPr>
                <w:rFonts w:ascii="Geometr415 Lt BT" w:hAnsi="Geometr415 Lt BT"/>
                <w:highlight w:val="red"/>
              </w:rPr>
            </w:pPr>
            <w:r w:rsidRPr="00E62652">
              <w:rPr>
                <w:rFonts w:ascii="Geometr415 Lt BT" w:hAnsi="Geometr415 Lt BT"/>
                <w:highlight w:val="red"/>
              </w:rPr>
              <w:t>Teachers do not appear to recognise the value of moral and spiritual development as an integral part of learning in religious education.</w:t>
            </w:r>
          </w:p>
        </w:tc>
      </w:tr>
      <w:tr w:rsidR="0061150E" w:rsidRPr="00A643E2" w14:paraId="6DB51083" w14:textId="77777777" w:rsidTr="00E330D4">
        <w:tc>
          <w:tcPr>
            <w:tcW w:w="3823" w:type="dxa"/>
          </w:tcPr>
          <w:p w14:paraId="206365FF" w14:textId="77777777" w:rsidR="0061150E" w:rsidRPr="00E62652" w:rsidRDefault="0061150E">
            <w:pPr>
              <w:rPr>
                <w:rFonts w:ascii="Geometr415 Lt BT" w:hAnsi="Geometr415 Lt BT"/>
                <w:highlight w:val="cyan"/>
              </w:rPr>
            </w:pPr>
            <w:r w:rsidRPr="00E62652">
              <w:rPr>
                <w:rFonts w:ascii="Geometr415 Lt BT" w:hAnsi="Geometr415 Lt BT"/>
                <w:highlight w:val="cyan"/>
              </w:rPr>
              <w:t>Teachers plan carefully to ensure that pupils are given extensive opportunities to present their learning using a wide variety of forms of expression to meet the differing needs of all pupils. High quality resources, including other adults, are used very effectively to optimise learning for all pupils.</w:t>
            </w:r>
          </w:p>
        </w:tc>
        <w:tc>
          <w:tcPr>
            <w:tcW w:w="3827" w:type="dxa"/>
          </w:tcPr>
          <w:p w14:paraId="204CB4BD" w14:textId="77777777" w:rsidR="0061150E" w:rsidRPr="00E62652" w:rsidRDefault="00121059">
            <w:pPr>
              <w:rPr>
                <w:rFonts w:ascii="Geometr415 Lt BT" w:hAnsi="Geometr415 Lt BT"/>
                <w:highlight w:val="green"/>
              </w:rPr>
            </w:pPr>
            <w:r w:rsidRPr="00E62652">
              <w:rPr>
                <w:rFonts w:ascii="Geometr415 Lt BT" w:hAnsi="Geometr415 Lt BT"/>
                <w:highlight w:val="green"/>
              </w:rPr>
              <w:t>Teachers provide pupils with opportunities to present their learning using a variety of forms of expression to meet the differing needs of pupils. Good quality resources, including other adults are used effectively to optimise learning for most pupils.</w:t>
            </w:r>
          </w:p>
        </w:tc>
        <w:tc>
          <w:tcPr>
            <w:tcW w:w="3685" w:type="dxa"/>
          </w:tcPr>
          <w:p w14:paraId="39BE8CFA" w14:textId="77777777" w:rsidR="0061150E" w:rsidRPr="00E62652" w:rsidRDefault="00121059">
            <w:pPr>
              <w:rPr>
                <w:rFonts w:ascii="Geometr415 Lt BT" w:hAnsi="Geometr415 Lt BT"/>
                <w:highlight w:val="yellow"/>
              </w:rPr>
            </w:pPr>
            <w:r w:rsidRPr="00E62652">
              <w:rPr>
                <w:rFonts w:ascii="Geometr415 Lt BT" w:hAnsi="Geometr415 Lt BT"/>
                <w:highlight w:val="yellow"/>
              </w:rPr>
              <w:t>Teachers provide limited opportunities for pupils to use a variety of forms of expression and do not fully meet the differing learning needs of pupils. The quality of resources is limited and the use of resources, including other adults, is not as good as it should be.</w:t>
            </w:r>
          </w:p>
        </w:tc>
        <w:tc>
          <w:tcPr>
            <w:tcW w:w="3119" w:type="dxa"/>
          </w:tcPr>
          <w:p w14:paraId="5E333640" w14:textId="77777777" w:rsidR="0061150E" w:rsidRPr="00E62652" w:rsidRDefault="00121059">
            <w:pPr>
              <w:rPr>
                <w:rFonts w:ascii="Geometr415 Lt BT" w:hAnsi="Geometr415 Lt BT"/>
                <w:highlight w:val="red"/>
              </w:rPr>
            </w:pPr>
            <w:r w:rsidRPr="00E62652">
              <w:rPr>
                <w:rFonts w:ascii="Geometr415 Lt BT" w:hAnsi="Geometr415 Lt BT"/>
                <w:highlight w:val="red"/>
              </w:rPr>
              <w:t>Teachers provide few, if any, opportunities for pupils to use a variety of forms of expression and the differing learning needs of pupils are overlooked. The quality of resources is poor and resources, including other adults, are not well deployed.</w:t>
            </w:r>
          </w:p>
        </w:tc>
      </w:tr>
    </w:tbl>
    <w:p w14:paraId="56475492" w14:textId="77777777" w:rsidR="006915B7" w:rsidRPr="00A643E2" w:rsidRDefault="006915B7">
      <w:pPr>
        <w:rPr>
          <w:rFonts w:ascii="Geometr415 Lt BT" w:hAnsi="Geometr415 Lt BT"/>
        </w:rPr>
      </w:pPr>
    </w:p>
    <w:p w14:paraId="66DC71A8" w14:textId="77777777" w:rsidR="00E330D4" w:rsidRPr="00A643E2" w:rsidRDefault="00E330D4">
      <w:pPr>
        <w:rPr>
          <w:rFonts w:ascii="Geometr415 Lt BT" w:hAnsi="Geometr415 Lt BT"/>
          <w:b/>
          <w:sz w:val="24"/>
          <w:szCs w:val="24"/>
        </w:rPr>
      </w:pPr>
      <w:bookmarkStart w:id="0" w:name="_Hlk93571941"/>
      <w:r w:rsidRPr="00A643E2">
        <w:rPr>
          <w:rFonts w:ascii="Geometr415 Lt BT" w:hAnsi="Geometr415 Lt BT"/>
          <w:b/>
          <w:sz w:val="24"/>
          <w:szCs w:val="24"/>
        </w:rPr>
        <w:br w:type="page"/>
      </w:r>
    </w:p>
    <w:p w14:paraId="09843CEF" w14:textId="06257A96" w:rsidR="0061150E" w:rsidRPr="00A643E2" w:rsidRDefault="0061150E" w:rsidP="0061150E">
      <w:pPr>
        <w:rPr>
          <w:rFonts w:ascii="Geometr415 Lt BT" w:hAnsi="Geometr415 Lt BT"/>
          <w:sz w:val="24"/>
          <w:szCs w:val="24"/>
        </w:rPr>
      </w:pPr>
      <w:r w:rsidRPr="00A643E2">
        <w:rPr>
          <w:rFonts w:ascii="Geometr415 Lt BT" w:hAnsi="Geometr415 Lt BT"/>
          <w:b/>
          <w:sz w:val="24"/>
          <w:szCs w:val="24"/>
        </w:rPr>
        <w:lastRenderedPageBreak/>
        <w:t>Option Two</w:t>
      </w:r>
      <w:r w:rsidRPr="00A643E2">
        <w:rPr>
          <w:rFonts w:ascii="Geometr415 Lt BT" w:hAnsi="Geometr415 Lt BT"/>
          <w:sz w:val="24"/>
          <w:szCs w:val="24"/>
        </w:rPr>
        <w:t xml:space="preserve"> – Complete the ‘Audit Tool’ below</w:t>
      </w:r>
    </w:p>
    <w:bookmarkEnd w:id="0"/>
    <w:tbl>
      <w:tblPr>
        <w:tblStyle w:val="TableGrid"/>
        <w:tblW w:w="14454" w:type="dxa"/>
        <w:tblLook w:val="04A0" w:firstRow="1" w:lastRow="0" w:firstColumn="1" w:lastColumn="0" w:noHBand="0" w:noVBand="1"/>
      </w:tblPr>
      <w:tblGrid>
        <w:gridCol w:w="9634"/>
        <w:gridCol w:w="1418"/>
        <w:gridCol w:w="1559"/>
        <w:gridCol w:w="1843"/>
      </w:tblGrid>
      <w:tr w:rsidR="0061150E" w:rsidRPr="00A643E2" w14:paraId="4E829BBD" w14:textId="77777777" w:rsidTr="00E330D4">
        <w:tc>
          <w:tcPr>
            <w:tcW w:w="9634" w:type="dxa"/>
          </w:tcPr>
          <w:p w14:paraId="312252C6" w14:textId="77777777" w:rsidR="0061150E" w:rsidRPr="00A643E2" w:rsidRDefault="0061150E">
            <w:pPr>
              <w:rPr>
                <w:rFonts w:ascii="Geometr415 Lt BT" w:hAnsi="Geometr415 Lt BT"/>
              </w:rPr>
            </w:pPr>
          </w:p>
        </w:tc>
        <w:tc>
          <w:tcPr>
            <w:tcW w:w="1418" w:type="dxa"/>
          </w:tcPr>
          <w:p w14:paraId="0CCE4761" w14:textId="77777777" w:rsidR="0061150E" w:rsidRPr="00A643E2" w:rsidRDefault="0061150E">
            <w:pPr>
              <w:rPr>
                <w:rFonts w:ascii="Geometr415 Lt BT" w:hAnsi="Geometr415 Lt BT"/>
              </w:rPr>
            </w:pPr>
            <w:r w:rsidRPr="00E62652">
              <w:rPr>
                <w:rFonts w:ascii="Geometr415 Lt BT" w:hAnsi="Geometr415 Lt BT"/>
                <w:highlight w:val="green"/>
              </w:rPr>
              <w:t>Fully</w:t>
            </w:r>
          </w:p>
        </w:tc>
        <w:tc>
          <w:tcPr>
            <w:tcW w:w="1559" w:type="dxa"/>
          </w:tcPr>
          <w:p w14:paraId="609518B9" w14:textId="77777777" w:rsidR="0061150E" w:rsidRPr="00A643E2" w:rsidRDefault="0061150E">
            <w:pPr>
              <w:rPr>
                <w:rFonts w:ascii="Geometr415 Lt BT" w:hAnsi="Geometr415 Lt BT"/>
              </w:rPr>
            </w:pPr>
            <w:r w:rsidRPr="00E62652">
              <w:rPr>
                <w:rFonts w:ascii="Geometr415 Lt BT" w:hAnsi="Geometr415 Lt BT"/>
                <w:highlight w:val="yellow"/>
              </w:rPr>
              <w:t>Partially</w:t>
            </w:r>
          </w:p>
        </w:tc>
        <w:tc>
          <w:tcPr>
            <w:tcW w:w="1843" w:type="dxa"/>
          </w:tcPr>
          <w:p w14:paraId="52E24BCB" w14:textId="77777777" w:rsidR="0061150E" w:rsidRPr="00E62652" w:rsidRDefault="0061150E">
            <w:pPr>
              <w:rPr>
                <w:rFonts w:ascii="Geometr415 Lt BT" w:hAnsi="Geometr415 Lt BT"/>
                <w:highlight w:val="red"/>
              </w:rPr>
            </w:pPr>
            <w:r w:rsidRPr="00E62652">
              <w:rPr>
                <w:rFonts w:ascii="Geometr415 Lt BT" w:hAnsi="Geometr415 Lt BT"/>
                <w:highlight w:val="red"/>
              </w:rPr>
              <w:t>Not evidenced</w:t>
            </w:r>
            <w:bookmarkStart w:id="1" w:name="_GoBack"/>
            <w:bookmarkEnd w:id="1"/>
          </w:p>
        </w:tc>
      </w:tr>
      <w:tr w:rsidR="0061150E" w:rsidRPr="00A643E2" w14:paraId="7CF19DF5" w14:textId="77777777" w:rsidTr="00E330D4">
        <w:tc>
          <w:tcPr>
            <w:tcW w:w="9634" w:type="dxa"/>
          </w:tcPr>
          <w:p w14:paraId="039D7835" w14:textId="77777777" w:rsidR="0061150E" w:rsidRPr="00A643E2" w:rsidRDefault="0061150E">
            <w:pPr>
              <w:rPr>
                <w:rFonts w:ascii="Geometr415 Lt BT" w:hAnsi="Geometr415 Lt BT"/>
              </w:rPr>
            </w:pPr>
            <w:r w:rsidRPr="00A643E2">
              <w:rPr>
                <w:rFonts w:ascii="Geometr415 Lt BT" w:hAnsi="Geometr415 Lt BT"/>
              </w:rPr>
              <w:t>Teachers are confident in their subject knowledge and have a good understanding of how pupils learn, appropriate to the phase in which they are teaching.</w:t>
            </w:r>
          </w:p>
        </w:tc>
        <w:tc>
          <w:tcPr>
            <w:tcW w:w="1418" w:type="dxa"/>
          </w:tcPr>
          <w:p w14:paraId="4B1934DD" w14:textId="77777777" w:rsidR="0061150E" w:rsidRPr="00A643E2" w:rsidRDefault="0061150E">
            <w:pPr>
              <w:rPr>
                <w:rFonts w:ascii="Geometr415 Lt BT" w:hAnsi="Geometr415 Lt BT"/>
              </w:rPr>
            </w:pPr>
          </w:p>
        </w:tc>
        <w:tc>
          <w:tcPr>
            <w:tcW w:w="1559" w:type="dxa"/>
          </w:tcPr>
          <w:p w14:paraId="210DD130" w14:textId="77777777" w:rsidR="0061150E" w:rsidRPr="00A643E2" w:rsidRDefault="0061150E">
            <w:pPr>
              <w:rPr>
                <w:rFonts w:ascii="Geometr415 Lt BT" w:hAnsi="Geometr415 Lt BT"/>
              </w:rPr>
            </w:pPr>
          </w:p>
        </w:tc>
        <w:tc>
          <w:tcPr>
            <w:tcW w:w="1843" w:type="dxa"/>
          </w:tcPr>
          <w:p w14:paraId="2A1EDC2E" w14:textId="77777777" w:rsidR="0061150E" w:rsidRPr="00A643E2" w:rsidRDefault="0061150E">
            <w:pPr>
              <w:rPr>
                <w:rFonts w:ascii="Geometr415 Lt BT" w:hAnsi="Geometr415 Lt BT"/>
              </w:rPr>
            </w:pPr>
          </w:p>
        </w:tc>
      </w:tr>
      <w:tr w:rsidR="0061150E" w:rsidRPr="00A643E2" w14:paraId="3EAEDD68" w14:textId="77777777" w:rsidTr="00E330D4">
        <w:tc>
          <w:tcPr>
            <w:tcW w:w="9634" w:type="dxa"/>
          </w:tcPr>
          <w:p w14:paraId="5C45CA9F" w14:textId="77777777" w:rsidR="0061150E" w:rsidRPr="00A643E2" w:rsidRDefault="0061150E">
            <w:pPr>
              <w:rPr>
                <w:rFonts w:ascii="Geometr415 Lt BT" w:hAnsi="Geometr415 Lt BT"/>
              </w:rPr>
            </w:pPr>
            <w:r w:rsidRPr="00A643E2">
              <w:rPr>
                <w:rFonts w:ascii="Geometr415 Lt BT" w:hAnsi="Geometr415 Lt BT"/>
              </w:rPr>
              <w:t>Teachers are committed to value of religious education and they communicate this effectively to their pupils.</w:t>
            </w:r>
          </w:p>
        </w:tc>
        <w:tc>
          <w:tcPr>
            <w:tcW w:w="1418" w:type="dxa"/>
          </w:tcPr>
          <w:p w14:paraId="7C7B1119" w14:textId="77777777" w:rsidR="0061150E" w:rsidRPr="00A643E2" w:rsidRDefault="0061150E">
            <w:pPr>
              <w:rPr>
                <w:rFonts w:ascii="Geometr415 Lt BT" w:hAnsi="Geometr415 Lt BT"/>
              </w:rPr>
            </w:pPr>
          </w:p>
        </w:tc>
        <w:tc>
          <w:tcPr>
            <w:tcW w:w="1559" w:type="dxa"/>
          </w:tcPr>
          <w:p w14:paraId="184BD609" w14:textId="77777777" w:rsidR="0061150E" w:rsidRPr="00A643E2" w:rsidRDefault="0061150E">
            <w:pPr>
              <w:rPr>
                <w:rFonts w:ascii="Geometr415 Lt BT" w:hAnsi="Geometr415 Lt BT"/>
              </w:rPr>
            </w:pPr>
          </w:p>
        </w:tc>
        <w:tc>
          <w:tcPr>
            <w:tcW w:w="1843" w:type="dxa"/>
          </w:tcPr>
          <w:p w14:paraId="305EC4C1" w14:textId="77777777" w:rsidR="0061150E" w:rsidRPr="00A643E2" w:rsidRDefault="0061150E">
            <w:pPr>
              <w:rPr>
                <w:rFonts w:ascii="Geometr415 Lt BT" w:hAnsi="Geometr415 Lt BT"/>
              </w:rPr>
            </w:pPr>
          </w:p>
        </w:tc>
      </w:tr>
      <w:tr w:rsidR="0061150E" w:rsidRPr="00A643E2" w14:paraId="7C8EF88A" w14:textId="77777777" w:rsidTr="00E330D4">
        <w:tc>
          <w:tcPr>
            <w:tcW w:w="9634" w:type="dxa"/>
          </w:tcPr>
          <w:p w14:paraId="5570A896" w14:textId="77777777" w:rsidR="0061150E" w:rsidRPr="00A643E2" w:rsidRDefault="0061150E">
            <w:pPr>
              <w:rPr>
                <w:rFonts w:ascii="Geometr415 Lt BT" w:hAnsi="Geometr415 Lt BT"/>
              </w:rPr>
            </w:pPr>
            <w:r w:rsidRPr="00A643E2">
              <w:rPr>
                <w:rFonts w:ascii="Geometr415 Lt BT" w:hAnsi="Geometr415 Lt BT"/>
              </w:rPr>
              <w:t>Planning is linked to pupils’ current assessment so that pupils learn well.</w:t>
            </w:r>
          </w:p>
        </w:tc>
        <w:tc>
          <w:tcPr>
            <w:tcW w:w="1418" w:type="dxa"/>
          </w:tcPr>
          <w:p w14:paraId="5E00591C" w14:textId="77777777" w:rsidR="0061150E" w:rsidRPr="00A643E2" w:rsidRDefault="0061150E">
            <w:pPr>
              <w:rPr>
                <w:rFonts w:ascii="Geometr415 Lt BT" w:hAnsi="Geometr415 Lt BT"/>
              </w:rPr>
            </w:pPr>
          </w:p>
        </w:tc>
        <w:tc>
          <w:tcPr>
            <w:tcW w:w="1559" w:type="dxa"/>
          </w:tcPr>
          <w:p w14:paraId="4E67601C" w14:textId="77777777" w:rsidR="0061150E" w:rsidRPr="00A643E2" w:rsidRDefault="0061150E">
            <w:pPr>
              <w:rPr>
                <w:rFonts w:ascii="Geometr415 Lt BT" w:hAnsi="Geometr415 Lt BT"/>
              </w:rPr>
            </w:pPr>
          </w:p>
        </w:tc>
        <w:tc>
          <w:tcPr>
            <w:tcW w:w="1843" w:type="dxa"/>
          </w:tcPr>
          <w:p w14:paraId="6EDF0350" w14:textId="77777777" w:rsidR="0061150E" w:rsidRPr="00A643E2" w:rsidRDefault="0061150E">
            <w:pPr>
              <w:rPr>
                <w:rFonts w:ascii="Geometr415 Lt BT" w:hAnsi="Geometr415 Lt BT"/>
              </w:rPr>
            </w:pPr>
          </w:p>
        </w:tc>
      </w:tr>
      <w:tr w:rsidR="0061150E" w:rsidRPr="00A643E2" w14:paraId="310C1C26" w14:textId="77777777" w:rsidTr="00E330D4">
        <w:tc>
          <w:tcPr>
            <w:tcW w:w="9634" w:type="dxa"/>
          </w:tcPr>
          <w:p w14:paraId="13E1B64E" w14:textId="77777777" w:rsidR="0061150E" w:rsidRPr="00A643E2" w:rsidRDefault="00121059">
            <w:pPr>
              <w:rPr>
                <w:rFonts w:ascii="Geometr415 Lt BT" w:hAnsi="Geometr415 Lt BT"/>
              </w:rPr>
            </w:pPr>
            <w:r w:rsidRPr="00A643E2">
              <w:rPr>
                <w:rFonts w:ascii="Geometr415 Lt BT" w:hAnsi="Geometr415 Lt BT"/>
              </w:rPr>
              <w:t>Teachers use questioning during lessons to identify where pupils are in their understanding. As a result, they adapt explanations and tasks, thus improving learning for most pupils.</w:t>
            </w:r>
          </w:p>
        </w:tc>
        <w:tc>
          <w:tcPr>
            <w:tcW w:w="1418" w:type="dxa"/>
          </w:tcPr>
          <w:p w14:paraId="551B7EAA" w14:textId="77777777" w:rsidR="0061150E" w:rsidRPr="00A643E2" w:rsidRDefault="0061150E">
            <w:pPr>
              <w:rPr>
                <w:rFonts w:ascii="Geometr415 Lt BT" w:hAnsi="Geometr415 Lt BT"/>
              </w:rPr>
            </w:pPr>
          </w:p>
        </w:tc>
        <w:tc>
          <w:tcPr>
            <w:tcW w:w="1559" w:type="dxa"/>
          </w:tcPr>
          <w:p w14:paraId="1AD71FAB" w14:textId="77777777" w:rsidR="0061150E" w:rsidRPr="00A643E2" w:rsidRDefault="0061150E">
            <w:pPr>
              <w:rPr>
                <w:rFonts w:ascii="Geometr415 Lt BT" w:hAnsi="Geometr415 Lt BT"/>
              </w:rPr>
            </w:pPr>
          </w:p>
        </w:tc>
        <w:tc>
          <w:tcPr>
            <w:tcW w:w="1843" w:type="dxa"/>
          </w:tcPr>
          <w:p w14:paraId="49E6A9C7" w14:textId="77777777" w:rsidR="0061150E" w:rsidRPr="00A643E2" w:rsidRDefault="0061150E">
            <w:pPr>
              <w:rPr>
                <w:rFonts w:ascii="Geometr415 Lt BT" w:hAnsi="Geometr415 Lt BT"/>
              </w:rPr>
            </w:pPr>
          </w:p>
        </w:tc>
      </w:tr>
      <w:tr w:rsidR="0061150E" w:rsidRPr="00A643E2" w14:paraId="7BF134BA" w14:textId="77777777" w:rsidTr="00E330D4">
        <w:tc>
          <w:tcPr>
            <w:tcW w:w="9634" w:type="dxa"/>
          </w:tcPr>
          <w:p w14:paraId="38A0A403" w14:textId="77777777" w:rsidR="0061150E" w:rsidRPr="00A643E2" w:rsidRDefault="00121059">
            <w:pPr>
              <w:rPr>
                <w:rFonts w:ascii="Geometr415 Lt BT" w:hAnsi="Geometr415 Lt BT"/>
              </w:rPr>
            </w:pPr>
            <w:r w:rsidRPr="00A643E2">
              <w:rPr>
                <w:rFonts w:ascii="Geometr415 Lt BT" w:hAnsi="Geometr415 Lt BT"/>
              </w:rPr>
              <w:t>Pupil effort is often celebrated leading to good levels of motivation from pupils. Teachers provide pupils with feedback which ensures that most pupils understand what they need to do to make progress in their learning.</w:t>
            </w:r>
          </w:p>
        </w:tc>
        <w:tc>
          <w:tcPr>
            <w:tcW w:w="1418" w:type="dxa"/>
          </w:tcPr>
          <w:p w14:paraId="05C0E880" w14:textId="77777777" w:rsidR="0061150E" w:rsidRPr="00A643E2" w:rsidRDefault="0061150E">
            <w:pPr>
              <w:rPr>
                <w:rFonts w:ascii="Geometr415 Lt BT" w:hAnsi="Geometr415 Lt BT"/>
              </w:rPr>
            </w:pPr>
          </w:p>
        </w:tc>
        <w:tc>
          <w:tcPr>
            <w:tcW w:w="1559" w:type="dxa"/>
          </w:tcPr>
          <w:p w14:paraId="54A42F12" w14:textId="77777777" w:rsidR="0061150E" w:rsidRPr="00A643E2" w:rsidRDefault="0061150E">
            <w:pPr>
              <w:rPr>
                <w:rFonts w:ascii="Geometr415 Lt BT" w:hAnsi="Geometr415 Lt BT"/>
              </w:rPr>
            </w:pPr>
          </w:p>
        </w:tc>
        <w:tc>
          <w:tcPr>
            <w:tcW w:w="1843" w:type="dxa"/>
          </w:tcPr>
          <w:p w14:paraId="39AEA4B3" w14:textId="77777777" w:rsidR="0061150E" w:rsidRPr="00A643E2" w:rsidRDefault="0061150E">
            <w:pPr>
              <w:rPr>
                <w:rFonts w:ascii="Geometr415 Lt BT" w:hAnsi="Geometr415 Lt BT"/>
              </w:rPr>
            </w:pPr>
          </w:p>
        </w:tc>
      </w:tr>
      <w:tr w:rsidR="0061150E" w:rsidRPr="00A643E2" w14:paraId="59CC1D93" w14:textId="77777777" w:rsidTr="00E330D4">
        <w:tc>
          <w:tcPr>
            <w:tcW w:w="9634" w:type="dxa"/>
          </w:tcPr>
          <w:p w14:paraId="6F80AB45" w14:textId="77777777" w:rsidR="0061150E" w:rsidRPr="00A643E2" w:rsidRDefault="00121059">
            <w:pPr>
              <w:rPr>
                <w:rFonts w:ascii="Geometr415 Lt BT" w:hAnsi="Geometr415 Lt BT"/>
              </w:rPr>
            </w:pPr>
            <w:r w:rsidRPr="00A643E2">
              <w:rPr>
                <w:rFonts w:ascii="Geometr415 Lt BT" w:hAnsi="Geometr415 Lt BT"/>
              </w:rPr>
              <w:t>Teachers recognise the impact religious education has on the moral and spiritual development of pupils. Therefore, teachers give pupils space and time for reflection in lessons.</w:t>
            </w:r>
          </w:p>
        </w:tc>
        <w:tc>
          <w:tcPr>
            <w:tcW w:w="1418" w:type="dxa"/>
          </w:tcPr>
          <w:p w14:paraId="36375EE4" w14:textId="77777777" w:rsidR="0061150E" w:rsidRPr="00A643E2" w:rsidRDefault="0061150E">
            <w:pPr>
              <w:rPr>
                <w:rFonts w:ascii="Geometr415 Lt BT" w:hAnsi="Geometr415 Lt BT"/>
              </w:rPr>
            </w:pPr>
          </w:p>
        </w:tc>
        <w:tc>
          <w:tcPr>
            <w:tcW w:w="1559" w:type="dxa"/>
          </w:tcPr>
          <w:p w14:paraId="05402F2B" w14:textId="77777777" w:rsidR="0061150E" w:rsidRPr="00A643E2" w:rsidRDefault="0061150E">
            <w:pPr>
              <w:rPr>
                <w:rFonts w:ascii="Geometr415 Lt BT" w:hAnsi="Geometr415 Lt BT"/>
              </w:rPr>
            </w:pPr>
          </w:p>
        </w:tc>
        <w:tc>
          <w:tcPr>
            <w:tcW w:w="1843" w:type="dxa"/>
          </w:tcPr>
          <w:p w14:paraId="0A5E2C09" w14:textId="77777777" w:rsidR="0061150E" w:rsidRPr="00A643E2" w:rsidRDefault="0061150E">
            <w:pPr>
              <w:rPr>
                <w:rFonts w:ascii="Geometr415 Lt BT" w:hAnsi="Geometr415 Lt BT"/>
              </w:rPr>
            </w:pPr>
          </w:p>
        </w:tc>
      </w:tr>
      <w:tr w:rsidR="0061150E" w:rsidRPr="00A643E2" w14:paraId="6590B98F" w14:textId="77777777" w:rsidTr="00E330D4">
        <w:tc>
          <w:tcPr>
            <w:tcW w:w="9634" w:type="dxa"/>
          </w:tcPr>
          <w:p w14:paraId="0697751C" w14:textId="77777777" w:rsidR="0061150E" w:rsidRPr="00A643E2" w:rsidRDefault="00121059">
            <w:pPr>
              <w:rPr>
                <w:rFonts w:ascii="Geometr415 Lt BT" w:hAnsi="Geometr415 Lt BT"/>
              </w:rPr>
            </w:pPr>
            <w:r w:rsidRPr="00A643E2">
              <w:rPr>
                <w:rFonts w:ascii="Geometr415 Lt BT" w:hAnsi="Geometr415 Lt BT"/>
              </w:rPr>
              <w:t>Teachers provide pupils with opportunities to present their learning using a variety of forms of expression to meet the differing needs of pupils. Good quality resources, including other adults are used effectively to optimise learning for most pupils.</w:t>
            </w:r>
          </w:p>
        </w:tc>
        <w:tc>
          <w:tcPr>
            <w:tcW w:w="1418" w:type="dxa"/>
          </w:tcPr>
          <w:p w14:paraId="7B746B71" w14:textId="77777777" w:rsidR="0061150E" w:rsidRPr="00A643E2" w:rsidRDefault="0061150E">
            <w:pPr>
              <w:rPr>
                <w:rFonts w:ascii="Geometr415 Lt BT" w:hAnsi="Geometr415 Lt BT"/>
              </w:rPr>
            </w:pPr>
          </w:p>
        </w:tc>
        <w:tc>
          <w:tcPr>
            <w:tcW w:w="1559" w:type="dxa"/>
          </w:tcPr>
          <w:p w14:paraId="3C4AB7B3" w14:textId="77777777" w:rsidR="0061150E" w:rsidRPr="00A643E2" w:rsidRDefault="0061150E">
            <w:pPr>
              <w:rPr>
                <w:rFonts w:ascii="Geometr415 Lt BT" w:hAnsi="Geometr415 Lt BT"/>
              </w:rPr>
            </w:pPr>
          </w:p>
        </w:tc>
        <w:tc>
          <w:tcPr>
            <w:tcW w:w="1843" w:type="dxa"/>
          </w:tcPr>
          <w:p w14:paraId="19762C5D" w14:textId="77777777" w:rsidR="0061150E" w:rsidRPr="00A643E2" w:rsidRDefault="0061150E">
            <w:pPr>
              <w:rPr>
                <w:rFonts w:ascii="Geometr415 Lt BT" w:hAnsi="Geometr415 Lt BT"/>
              </w:rPr>
            </w:pPr>
          </w:p>
        </w:tc>
      </w:tr>
      <w:tr w:rsidR="0061150E" w:rsidRPr="00A643E2" w14:paraId="370988AD" w14:textId="77777777" w:rsidTr="00E330D4">
        <w:tc>
          <w:tcPr>
            <w:tcW w:w="9634" w:type="dxa"/>
          </w:tcPr>
          <w:p w14:paraId="7C2B919D" w14:textId="77777777" w:rsidR="0061150E" w:rsidRPr="00A643E2" w:rsidRDefault="00121059">
            <w:pPr>
              <w:rPr>
                <w:rFonts w:ascii="Geometr415 Lt BT" w:hAnsi="Geometr415 Lt BT"/>
                <w:b/>
              </w:rPr>
            </w:pPr>
            <w:r w:rsidRPr="00A643E2">
              <w:rPr>
                <w:rFonts w:ascii="Geometr415 Lt BT" w:hAnsi="Geometr415 Lt BT"/>
                <w:b/>
              </w:rPr>
              <w:t>ACTION POINTS</w:t>
            </w:r>
          </w:p>
          <w:p w14:paraId="2E7E3F1A" w14:textId="77777777" w:rsidR="00121059" w:rsidRPr="00A643E2" w:rsidRDefault="00121059">
            <w:pPr>
              <w:rPr>
                <w:rFonts w:ascii="Geometr415 Lt BT" w:hAnsi="Geometr415 Lt BT"/>
              </w:rPr>
            </w:pPr>
          </w:p>
          <w:p w14:paraId="3C47A715" w14:textId="77777777" w:rsidR="00121059" w:rsidRPr="00A643E2" w:rsidRDefault="00121059">
            <w:pPr>
              <w:rPr>
                <w:rFonts w:ascii="Geometr415 Lt BT" w:hAnsi="Geometr415 Lt BT"/>
              </w:rPr>
            </w:pPr>
          </w:p>
          <w:p w14:paraId="23E193EB" w14:textId="77777777" w:rsidR="00121059" w:rsidRPr="00A643E2" w:rsidRDefault="00121059">
            <w:pPr>
              <w:rPr>
                <w:rFonts w:ascii="Geometr415 Lt BT" w:hAnsi="Geometr415 Lt BT"/>
              </w:rPr>
            </w:pPr>
          </w:p>
        </w:tc>
        <w:tc>
          <w:tcPr>
            <w:tcW w:w="1418" w:type="dxa"/>
          </w:tcPr>
          <w:p w14:paraId="1FF45632" w14:textId="77777777" w:rsidR="0061150E" w:rsidRPr="00A643E2" w:rsidRDefault="0061150E">
            <w:pPr>
              <w:rPr>
                <w:rFonts w:ascii="Geometr415 Lt BT" w:hAnsi="Geometr415 Lt BT"/>
              </w:rPr>
            </w:pPr>
          </w:p>
        </w:tc>
        <w:tc>
          <w:tcPr>
            <w:tcW w:w="1559" w:type="dxa"/>
          </w:tcPr>
          <w:p w14:paraId="7B9B7C00" w14:textId="77777777" w:rsidR="0061150E" w:rsidRPr="00A643E2" w:rsidRDefault="0061150E">
            <w:pPr>
              <w:rPr>
                <w:rFonts w:ascii="Geometr415 Lt BT" w:hAnsi="Geometr415 Lt BT"/>
              </w:rPr>
            </w:pPr>
          </w:p>
        </w:tc>
        <w:tc>
          <w:tcPr>
            <w:tcW w:w="1843" w:type="dxa"/>
          </w:tcPr>
          <w:p w14:paraId="16F102EA" w14:textId="77777777" w:rsidR="0061150E" w:rsidRPr="00A643E2" w:rsidRDefault="0061150E">
            <w:pPr>
              <w:rPr>
                <w:rFonts w:ascii="Geometr415 Lt BT" w:hAnsi="Geometr415 Lt BT"/>
              </w:rPr>
            </w:pPr>
          </w:p>
        </w:tc>
      </w:tr>
    </w:tbl>
    <w:p w14:paraId="03CD1B22" w14:textId="77777777" w:rsidR="0061150E" w:rsidRPr="00A643E2" w:rsidRDefault="0061150E">
      <w:pPr>
        <w:rPr>
          <w:rFonts w:ascii="Geometr415 Lt BT" w:hAnsi="Geometr415 Lt BT"/>
        </w:rPr>
      </w:pPr>
    </w:p>
    <w:sectPr w:rsidR="0061150E" w:rsidRPr="00A643E2" w:rsidSect="00E330D4">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DFF6" w14:textId="77777777" w:rsidR="004D4A43" w:rsidRDefault="004D4A43" w:rsidP="004D4A43">
      <w:pPr>
        <w:spacing w:after="0" w:line="240" w:lineRule="auto"/>
      </w:pPr>
      <w:r>
        <w:separator/>
      </w:r>
    </w:p>
  </w:endnote>
  <w:endnote w:type="continuationSeparator" w:id="0">
    <w:p w14:paraId="2DB69EEA" w14:textId="77777777" w:rsidR="004D4A43" w:rsidRDefault="004D4A43" w:rsidP="004D4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panose1 w:val="020B05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A8A42" w14:textId="723FEB77" w:rsidR="00A643E2" w:rsidRDefault="00A643E2">
    <w:pPr>
      <w:pStyle w:val="Footer"/>
    </w:pPr>
    <w:r>
      <w:rPr>
        <w:noProof/>
      </w:rPr>
      <w:drawing>
        <wp:inline distT="0" distB="0" distL="0" distR="0" wp14:anchorId="5F35A647" wp14:editId="0E7D26A3">
          <wp:extent cx="683895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723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23DE0" w14:textId="77777777" w:rsidR="004D4A43" w:rsidRDefault="004D4A43" w:rsidP="004D4A43">
      <w:pPr>
        <w:spacing w:after="0" w:line="240" w:lineRule="auto"/>
      </w:pPr>
      <w:r>
        <w:separator/>
      </w:r>
    </w:p>
  </w:footnote>
  <w:footnote w:type="continuationSeparator" w:id="0">
    <w:p w14:paraId="202635CD" w14:textId="77777777" w:rsidR="004D4A43" w:rsidRDefault="004D4A43" w:rsidP="004D4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1EFC" w14:textId="5AFD0AF4" w:rsidR="00A643E2" w:rsidRPr="00A643E2" w:rsidRDefault="00A643E2" w:rsidP="00A643E2">
    <w:pPr>
      <w:pStyle w:val="Header"/>
      <w:rPr>
        <w:rFonts w:ascii="Geometr415 Lt BT" w:hAnsi="Geometr415 Lt BT"/>
        <w:b/>
        <w:sz w:val="28"/>
        <w:szCs w:val="28"/>
      </w:rPr>
    </w:pPr>
    <w:r>
      <w:rPr>
        <w:noProof/>
      </w:rPr>
      <w:drawing>
        <wp:anchor distT="0" distB="0" distL="114300" distR="114300" simplePos="0" relativeHeight="251658240" behindDoc="0" locked="0" layoutInCell="1" allowOverlap="1" wp14:anchorId="7E93AAED" wp14:editId="01F52EF1">
          <wp:simplePos x="0" y="0"/>
          <wp:positionH relativeFrom="column">
            <wp:posOffset>7229475</wp:posOffset>
          </wp:positionH>
          <wp:positionV relativeFrom="paragraph">
            <wp:posOffset>-173355</wp:posOffset>
          </wp:positionV>
          <wp:extent cx="1876425" cy="71310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13105"/>
                  </a:xfrm>
                  <a:prstGeom prst="rect">
                    <a:avLst/>
                  </a:prstGeom>
                  <a:noFill/>
                  <a:ln>
                    <a:noFill/>
                  </a:ln>
                </pic:spPr>
              </pic:pic>
            </a:graphicData>
          </a:graphic>
        </wp:anchor>
      </w:drawing>
    </w:r>
    <w:r w:rsidRPr="00A643E2">
      <w:rPr>
        <w:rFonts w:ascii="Geometr415 Lt BT" w:hAnsi="Geometr415 Lt BT"/>
        <w:b/>
        <w:sz w:val="28"/>
        <w:szCs w:val="28"/>
      </w:rPr>
      <w:t>A tool for self-evaluation for Religious Education</w:t>
    </w:r>
  </w:p>
  <w:p w14:paraId="6EF38914" w14:textId="683BD8E7" w:rsidR="00A643E2" w:rsidRPr="00A643E2" w:rsidRDefault="00A643E2" w:rsidP="00A643E2">
    <w:pPr>
      <w:pStyle w:val="Header"/>
      <w:rPr>
        <w:rFonts w:ascii="Geometr415 Lt BT" w:hAnsi="Geometr415 Lt BT"/>
        <w:b/>
      </w:rPr>
    </w:pPr>
    <w:r w:rsidRPr="00A643E2">
      <w:rPr>
        <w:rFonts w:ascii="Geometr415 Lt BT" w:hAnsi="Geometr415 Lt BT"/>
        <w:b/>
      </w:rPr>
      <w:t>The quality of teaching, learning and assessment in Religious Education</w:t>
    </w:r>
    <w:r>
      <w:rPr>
        <w:rFonts w:ascii="Geometr415 Lt BT" w:hAnsi="Geometr415 Lt BT"/>
        <w:b/>
      </w:rPr>
      <w:t xml:space="preserve"> </w:t>
    </w:r>
  </w:p>
  <w:p w14:paraId="7369C6BF" w14:textId="77777777" w:rsidR="004D4A43" w:rsidRDefault="004D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B7848"/>
    <w:multiLevelType w:val="hybridMultilevel"/>
    <w:tmpl w:val="824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0E"/>
    <w:rsid w:val="00121059"/>
    <w:rsid w:val="004D4A43"/>
    <w:rsid w:val="0061150E"/>
    <w:rsid w:val="006915B7"/>
    <w:rsid w:val="00A643E2"/>
    <w:rsid w:val="00E330D4"/>
    <w:rsid w:val="00E62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4129"/>
  <w15:chartTrackingRefBased/>
  <w15:docId w15:val="{CE44D2FD-C11E-47C5-A5CD-E898572C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50E"/>
  </w:style>
  <w:style w:type="paragraph" w:styleId="ListParagraph">
    <w:name w:val="List Paragraph"/>
    <w:basedOn w:val="Normal"/>
    <w:uiPriority w:val="34"/>
    <w:qFormat/>
    <w:rsid w:val="0061150E"/>
    <w:pPr>
      <w:ind w:left="720"/>
      <w:contextualSpacing/>
    </w:pPr>
  </w:style>
  <w:style w:type="table" w:styleId="TableGrid">
    <w:name w:val="Table Grid"/>
    <w:basedOn w:val="TableNormal"/>
    <w:uiPriority w:val="39"/>
    <w:rsid w:val="0061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4A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F77C4D1CEBA41A80E830D549F4BDD" ma:contentTypeVersion="13" ma:contentTypeDescription="Create a new document." ma:contentTypeScope="" ma:versionID="c410adecc790011ef6470b9b5fea5c1a">
  <xsd:schema xmlns:xsd="http://www.w3.org/2001/XMLSchema" xmlns:xs="http://www.w3.org/2001/XMLSchema" xmlns:p="http://schemas.microsoft.com/office/2006/metadata/properties" xmlns:ns2="cec179ec-5849-4d27-a419-67c4ef7310ce" xmlns:ns3="7a91fe27-c972-4eca-a669-87ab608c0386" targetNamespace="http://schemas.microsoft.com/office/2006/metadata/properties" ma:root="true" ma:fieldsID="1ccb3f6ea2a561d50ad9734b6823865e" ns2:_="" ns3:_="">
    <xsd:import namespace="cec179ec-5849-4d27-a419-67c4ef7310ce"/>
    <xsd:import namespace="7a91fe27-c972-4eca-a669-87ab608c03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179ec-5849-4d27-a419-67c4ef731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91fe27-c972-4eca-a669-87ab608c03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E6ADA8-CE22-4124-960A-163D035E3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179ec-5849-4d27-a419-67c4ef7310ce"/>
    <ds:schemaRef ds:uri="7a91fe27-c972-4eca-a669-87ab608c0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5CE67-9D19-4FCF-BC54-D6E672B568F3}">
  <ds:schemaRefs>
    <ds:schemaRef ds:uri="http://schemas.microsoft.com/sharepoint/v3/contenttype/forms"/>
  </ds:schemaRefs>
</ds:datastoreItem>
</file>

<file path=customXml/itemProps3.xml><?xml version="1.0" encoding="utf-8"?>
<ds:datastoreItem xmlns:ds="http://schemas.openxmlformats.org/officeDocument/2006/customXml" ds:itemID="{2FB412AE-D2C6-4A9A-8CD7-E2D96F50CABF}">
  <ds:schemaRefs>
    <ds:schemaRef ds:uri="http://schemas.microsoft.com/office/2006/documentManagement/types"/>
    <ds:schemaRef ds:uri="http://purl.org/dc/dcmitype/"/>
    <ds:schemaRef ds:uri="http://purl.org/dc/terms/"/>
    <ds:schemaRef ds:uri="http://purl.org/dc/elements/1.1/"/>
    <ds:schemaRef ds:uri="cec179ec-5849-4d27-a419-67c4ef7310ce"/>
    <ds:schemaRef ds:uri="http://www.w3.org/XML/1998/namespace"/>
    <ds:schemaRef ds:uri="http://schemas.microsoft.com/office/infopath/2007/PartnerControls"/>
    <ds:schemaRef ds:uri="http://schemas.openxmlformats.org/package/2006/metadata/core-properties"/>
    <ds:schemaRef ds:uri="7a91fe27-c972-4eca-a669-87ab608c038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Hamilton</dc:creator>
  <cp:keywords/>
  <dc:description/>
  <cp:lastModifiedBy>Patrick Harrison</cp:lastModifiedBy>
  <cp:revision>5</cp:revision>
  <dcterms:created xsi:type="dcterms:W3CDTF">2022-01-26T09:42:00Z</dcterms:created>
  <dcterms:modified xsi:type="dcterms:W3CDTF">2022-02-03T15:55:00Z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0x010100906F77C4D1CEBA41A80E830D549F4BDD</vt:lpwstr>
  </property>
</Properties>
</file>