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F11CC" w14:textId="77777777" w:rsidR="00F32A3B" w:rsidRDefault="00F32A3B" w:rsidP="00F32A3B">
      <w:pPr>
        <w:pStyle w:val="ListParagraph"/>
        <w:rPr>
          <w:sz w:val="18"/>
          <w:szCs w:val="18"/>
        </w:rPr>
      </w:pPr>
    </w:p>
    <w:p w14:paraId="68DA8218" w14:textId="2F29B99A" w:rsidR="00F32A3B" w:rsidRPr="00710B25" w:rsidRDefault="00F32A3B" w:rsidP="00F32A3B">
      <w:pPr>
        <w:rPr>
          <w:rFonts w:ascii="Geometr415 Lt BT" w:hAnsi="Geometr415 Lt BT"/>
          <w:sz w:val="24"/>
          <w:szCs w:val="24"/>
        </w:rPr>
      </w:pPr>
      <w:r w:rsidRPr="00710B25">
        <w:rPr>
          <w:rFonts w:ascii="Geometr415 Lt BT" w:hAnsi="Geometr415 Lt BT"/>
          <w:b/>
          <w:sz w:val="24"/>
          <w:szCs w:val="24"/>
        </w:rPr>
        <w:t>Option One</w:t>
      </w:r>
      <w:r w:rsidRPr="00710B25">
        <w:rPr>
          <w:rFonts w:ascii="Geometr415 Lt BT" w:hAnsi="Geometr415 Lt BT"/>
          <w:sz w:val="24"/>
          <w:szCs w:val="24"/>
        </w:rPr>
        <w:t xml:space="preserve"> </w:t>
      </w:r>
      <w:r w:rsidR="00382D2C" w:rsidRPr="00710B25">
        <w:rPr>
          <w:rFonts w:ascii="Geometr415 Lt BT" w:hAnsi="Geometr415 Lt BT"/>
          <w:sz w:val="24"/>
          <w:szCs w:val="24"/>
        </w:rPr>
        <w:br/>
      </w:r>
      <w:r w:rsidRPr="00710B25">
        <w:rPr>
          <w:rFonts w:ascii="Geometr415 Lt BT" w:hAnsi="Geometr415 Lt BT"/>
          <w:sz w:val="24"/>
          <w:szCs w:val="24"/>
        </w:rPr>
        <w:t xml:space="preserve">using the grade descriptions below, ‘RAG’ </w:t>
      </w:r>
      <w:proofErr w:type="gramStart"/>
      <w:r w:rsidRPr="00710B25">
        <w:rPr>
          <w:rFonts w:ascii="Geometr415 Lt BT" w:hAnsi="Geometr415 Lt BT"/>
          <w:sz w:val="24"/>
          <w:szCs w:val="24"/>
        </w:rPr>
        <w:t>rate</w:t>
      </w:r>
      <w:proofErr w:type="gramEnd"/>
      <w:r w:rsidRPr="00710B25">
        <w:rPr>
          <w:rFonts w:ascii="Geometr415 Lt BT" w:hAnsi="Geometr415 Lt BT"/>
          <w:sz w:val="24"/>
          <w:szCs w:val="24"/>
        </w:rPr>
        <w:t xml:space="preserve"> the description that is the best fit for your school.  Start with the descriptors for ‘Good</w:t>
      </w:r>
    </w:p>
    <w:p w14:paraId="21BDBB65" w14:textId="77777777" w:rsidR="00F32A3B" w:rsidRPr="00710B25" w:rsidRDefault="00F32A3B" w:rsidP="00F32A3B">
      <w:pPr>
        <w:rPr>
          <w:rFonts w:ascii="Geometr415 Lt BT" w:hAnsi="Geometr415 Lt BT"/>
          <w:sz w:val="18"/>
          <w:szCs w:val="18"/>
        </w:rPr>
      </w:pPr>
    </w:p>
    <w:tbl>
      <w:tblPr>
        <w:tblStyle w:val="TableGrid"/>
        <w:tblW w:w="14454" w:type="dxa"/>
        <w:tblLook w:val="04A0" w:firstRow="1" w:lastRow="0" w:firstColumn="1" w:lastColumn="0" w:noHBand="0" w:noVBand="1"/>
      </w:tblPr>
      <w:tblGrid>
        <w:gridCol w:w="4248"/>
        <w:gridCol w:w="3685"/>
        <w:gridCol w:w="3261"/>
        <w:gridCol w:w="3260"/>
      </w:tblGrid>
      <w:tr w:rsidR="00F32A3B" w:rsidRPr="00710B25" w14:paraId="7BF778DD" w14:textId="77777777" w:rsidTr="00382D2C">
        <w:tc>
          <w:tcPr>
            <w:tcW w:w="4248" w:type="dxa"/>
          </w:tcPr>
          <w:p w14:paraId="06CAE205"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sz w:val="18"/>
                <w:szCs w:val="18"/>
                <w:highlight w:val="cyan"/>
              </w:rPr>
              <w:t>Outstanding</w:t>
            </w:r>
          </w:p>
        </w:tc>
        <w:tc>
          <w:tcPr>
            <w:tcW w:w="3685" w:type="dxa"/>
          </w:tcPr>
          <w:p w14:paraId="304D8281" w14:textId="77777777" w:rsidR="00F32A3B" w:rsidRPr="00A955BC" w:rsidRDefault="00F32A3B" w:rsidP="00F32A3B">
            <w:pPr>
              <w:rPr>
                <w:rFonts w:ascii="Geometr415 Lt BT" w:hAnsi="Geometr415 Lt BT"/>
                <w:sz w:val="18"/>
                <w:szCs w:val="18"/>
                <w:highlight w:val="green"/>
              </w:rPr>
            </w:pPr>
            <w:r w:rsidRPr="00A955BC">
              <w:rPr>
                <w:rFonts w:ascii="Geometr415 Lt BT" w:hAnsi="Geometr415 Lt BT"/>
                <w:sz w:val="18"/>
                <w:szCs w:val="18"/>
                <w:highlight w:val="green"/>
              </w:rPr>
              <w:t>Good</w:t>
            </w:r>
          </w:p>
        </w:tc>
        <w:tc>
          <w:tcPr>
            <w:tcW w:w="3261" w:type="dxa"/>
          </w:tcPr>
          <w:p w14:paraId="28945A8B" w14:textId="77777777" w:rsidR="00F32A3B" w:rsidRPr="00A955BC" w:rsidRDefault="00F32A3B" w:rsidP="00F32A3B">
            <w:pPr>
              <w:rPr>
                <w:rFonts w:ascii="Geometr415 Lt BT" w:hAnsi="Geometr415 Lt BT"/>
                <w:sz w:val="18"/>
                <w:szCs w:val="18"/>
                <w:highlight w:val="yellow"/>
              </w:rPr>
            </w:pPr>
            <w:r w:rsidRPr="00A955BC">
              <w:rPr>
                <w:rFonts w:ascii="Geometr415 Lt BT" w:hAnsi="Geometr415 Lt BT"/>
                <w:sz w:val="18"/>
                <w:szCs w:val="18"/>
                <w:highlight w:val="yellow"/>
              </w:rPr>
              <w:t>Requires Improvement</w:t>
            </w:r>
          </w:p>
        </w:tc>
        <w:tc>
          <w:tcPr>
            <w:tcW w:w="3260" w:type="dxa"/>
          </w:tcPr>
          <w:p w14:paraId="5E624B81" w14:textId="77777777" w:rsidR="00F32A3B" w:rsidRPr="00A955BC" w:rsidRDefault="00F32A3B" w:rsidP="00F32A3B">
            <w:pPr>
              <w:rPr>
                <w:rFonts w:ascii="Geometr415 Lt BT" w:hAnsi="Geometr415 Lt BT"/>
                <w:sz w:val="18"/>
                <w:szCs w:val="18"/>
                <w:highlight w:val="red"/>
              </w:rPr>
            </w:pPr>
            <w:r w:rsidRPr="00A955BC">
              <w:rPr>
                <w:rFonts w:ascii="Geometr415 Lt BT" w:hAnsi="Geometr415 Lt BT"/>
                <w:sz w:val="18"/>
                <w:szCs w:val="18"/>
                <w:highlight w:val="red"/>
              </w:rPr>
              <w:t>Inadequate</w:t>
            </w:r>
          </w:p>
        </w:tc>
      </w:tr>
      <w:tr w:rsidR="00F32A3B" w:rsidRPr="00710B25" w14:paraId="4125F5E8" w14:textId="77777777" w:rsidTr="00382D2C">
        <w:tc>
          <w:tcPr>
            <w:tcW w:w="4248" w:type="dxa"/>
          </w:tcPr>
          <w:p w14:paraId="5FE4B0CB"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are developing excellent knowledge, understanding and skills that exemplify the learning required by the Religious Education Curriculum Directory.</w:t>
            </w:r>
          </w:p>
        </w:tc>
        <w:tc>
          <w:tcPr>
            <w:tcW w:w="3685" w:type="dxa"/>
          </w:tcPr>
          <w:p w14:paraId="635F34FC"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are developing secure knowledge, understanding and skills that reflect the learning required by the Religious Education Curriculum Directory.</w:t>
            </w:r>
          </w:p>
        </w:tc>
        <w:tc>
          <w:tcPr>
            <w:tcW w:w="3261" w:type="dxa"/>
          </w:tcPr>
          <w:p w14:paraId="56808E33"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For a significant minority of pupils, the knowledge, understanding and skills required by the Religious Education Curriculum Directory are insufficiently developed.</w:t>
            </w:r>
          </w:p>
        </w:tc>
        <w:tc>
          <w:tcPr>
            <w:tcW w:w="3260" w:type="dxa"/>
          </w:tcPr>
          <w:p w14:paraId="1CDC0E86"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The knowledge, understanding and skills of pupils are limited or poorly reflect the learning required by the Religious Education Curriculum Directory.</w:t>
            </w:r>
          </w:p>
        </w:tc>
      </w:tr>
      <w:tr w:rsidR="00F32A3B" w:rsidRPr="00710B25" w14:paraId="4A60D961" w14:textId="77777777" w:rsidTr="00382D2C">
        <w:tc>
          <w:tcPr>
            <w:tcW w:w="4248" w:type="dxa"/>
          </w:tcPr>
          <w:p w14:paraId="6857AD34"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 progress from starting points is above average when compared with other core curriculum subjects in school or with national averages where available.</w:t>
            </w:r>
          </w:p>
        </w:tc>
        <w:tc>
          <w:tcPr>
            <w:tcW w:w="3685" w:type="dxa"/>
          </w:tcPr>
          <w:p w14:paraId="069CA1A0"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 progress from starting points is above average when compared with other core curriculum subjects in school or with national averages where available. If it is not, it displays an historical and consistent trend of improvement in that direction.</w:t>
            </w:r>
          </w:p>
        </w:tc>
        <w:tc>
          <w:tcPr>
            <w:tcW w:w="3261" w:type="dxa"/>
          </w:tcPr>
          <w:p w14:paraId="41F122A9"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 progress from starting points of most pupils is at least average. However, some pupils make progress that is below average when compared with other core curriculum subjects in school or with national averages where available.</w:t>
            </w:r>
          </w:p>
        </w:tc>
        <w:tc>
          <w:tcPr>
            <w:tcW w:w="3260" w:type="dxa"/>
          </w:tcPr>
          <w:p w14:paraId="5ACB7553"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Pupil progress is consistently well below average when compared with other core curriculum subjects in school or national averages where available.</w:t>
            </w:r>
          </w:p>
        </w:tc>
      </w:tr>
      <w:tr w:rsidR="00F32A3B" w:rsidRPr="00710B25" w14:paraId="13186468" w14:textId="77777777" w:rsidTr="00382D2C">
        <w:tc>
          <w:tcPr>
            <w:tcW w:w="4248" w:type="dxa"/>
          </w:tcPr>
          <w:p w14:paraId="00802B1E"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The progress of groups with specific needs matches or is improving towards that of other pupils with the same starting points</w:t>
            </w:r>
          </w:p>
        </w:tc>
        <w:tc>
          <w:tcPr>
            <w:tcW w:w="3685" w:type="dxa"/>
          </w:tcPr>
          <w:p w14:paraId="5002DF4F"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The progress of groups with specific needs is close to or is improving towards that of other pupils with the same starting points.</w:t>
            </w:r>
          </w:p>
        </w:tc>
        <w:tc>
          <w:tcPr>
            <w:tcW w:w="3261" w:type="dxa"/>
          </w:tcPr>
          <w:p w14:paraId="193DC97F"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There are noticeable differences in the progress of groups with specific needs from similar starting points and improvement in narrowing these gaps is slow.</w:t>
            </w:r>
          </w:p>
        </w:tc>
        <w:tc>
          <w:tcPr>
            <w:tcW w:w="3260" w:type="dxa"/>
          </w:tcPr>
          <w:p w14:paraId="7267CC60"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There are wide differences in the progress of different groups with specific needs from similar starting points and these are not improving.</w:t>
            </w:r>
          </w:p>
        </w:tc>
      </w:tr>
      <w:tr w:rsidR="00F32A3B" w:rsidRPr="00710B25" w14:paraId="54601732" w14:textId="77777777" w:rsidTr="00382D2C">
        <w:tc>
          <w:tcPr>
            <w:tcW w:w="4248" w:type="dxa"/>
          </w:tcPr>
          <w:p w14:paraId="29D0A20E"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 xml:space="preserve">Pupils, relative to their age and capacity, are religiously literate and engaged young people; they use their knowledge, understanding and skills effectively, to </w:t>
            </w:r>
            <w:r w:rsidRPr="00A955BC">
              <w:rPr>
                <w:rFonts w:ascii="Geometr415 Lt BT" w:hAnsi="Geometr415 Lt BT"/>
                <w:highlight w:val="cyan"/>
              </w:rPr>
              <w:lastRenderedPageBreak/>
              <w:t>reflect spiritually, and to think ethically and theologically. As a consequence, they are particularly aware of the demands of religious commitment in everyday life.</w:t>
            </w:r>
          </w:p>
        </w:tc>
        <w:tc>
          <w:tcPr>
            <w:tcW w:w="3685" w:type="dxa"/>
          </w:tcPr>
          <w:p w14:paraId="43E5B65F"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lastRenderedPageBreak/>
              <w:t xml:space="preserve">Pupils, relative to their age and capacity, are religiously literate and engaged young people; they use their knowledge, understanding and </w:t>
            </w:r>
            <w:r w:rsidRPr="00A955BC">
              <w:rPr>
                <w:rFonts w:ascii="Geometr415 Lt BT" w:hAnsi="Geometr415 Lt BT"/>
                <w:highlight w:val="green"/>
              </w:rPr>
              <w:lastRenderedPageBreak/>
              <w:t>skills, to reflect spiritually, and to think ethically and theologically. As a consequence, most pupils are aware of the demands of religious commitment in everyday life.</w:t>
            </w:r>
          </w:p>
        </w:tc>
        <w:tc>
          <w:tcPr>
            <w:tcW w:w="3261" w:type="dxa"/>
          </w:tcPr>
          <w:p w14:paraId="5E9238B2"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lastRenderedPageBreak/>
              <w:t xml:space="preserve">Pupils, relative to their age and capacity make some use of their knowledge, understanding and skills, to reflect spiritually and </w:t>
            </w:r>
            <w:r w:rsidRPr="00A955BC">
              <w:rPr>
                <w:rFonts w:ascii="Geometr415 Lt BT" w:hAnsi="Geometr415 Lt BT"/>
                <w:highlight w:val="yellow"/>
              </w:rPr>
              <w:lastRenderedPageBreak/>
              <w:t>think ethically and theologically in a limited way about the demands of religious commitment in everyday life.</w:t>
            </w:r>
          </w:p>
        </w:tc>
        <w:tc>
          <w:tcPr>
            <w:tcW w:w="3260" w:type="dxa"/>
          </w:tcPr>
          <w:p w14:paraId="2A95EADE"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lastRenderedPageBreak/>
              <w:t xml:space="preserve">Pupils make little, if any use of their knowledge, understanding and skills, to reflect spiritually and think ethically and </w:t>
            </w:r>
            <w:r w:rsidRPr="00A955BC">
              <w:rPr>
                <w:rFonts w:ascii="Geometr415 Lt BT" w:hAnsi="Geometr415 Lt BT"/>
                <w:highlight w:val="red"/>
              </w:rPr>
              <w:lastRenderedPageBreak/>
              <w:t>theologically. They are largely unaware of the demands of religious commitment in everyday life.</w:t>
            </w:r>
          </w:p>
        </w:tc>
      </w:tr>
      <w:tr w:rsidR="00F32A3B" w:rsidRPr="00710B25" w14:paraId="52A36C54" w14:textId="77777777" w:rsidTr="00382D2C">
        <w:tc>
          <w:tcPr>
            <w:tcW w:w="4248" w:type="dxa"/>
          </w:tcPr>
          <w:p w14:paraId="0566BD1F"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lastRenderedPageBreak/>
              <w:t>Pupils can speak fluently and confidently about what they have learned in religious education, using key concepts and subject-specific vocabulary. As a consequence, they ask incisive questions of adults and peers, which indicate an innate curiosity and a desire to deepen learning.</w:t>
            </w:r>
          </w:p>
        </w:tc>
        <w:tc>
          <w:tcPr>
            <w:tcW w:w="3685" w:type="dxa"/>
          </w:tcPr>
          <w:p w14:paraId="51720D93"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can speak with confidence about what they have learned in religious education, showing an awareness of key concepts and using some subject-specific vocabulary. As a consequence, they are able to ask good questions of adults and peers, which enhance learning.</w:t>
            </w:r>
          </w:p>
        </w:tc>
        <w:tc>
          <w:tcPr>
            <w:tcW w:w="3261" w:type="dxa"/>
          </w:tcPr>
          <w:p w14:paraId="1F7FACE7"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are able speak about what they have learned in religious education, although with limited confidence and limited use of subject-specific vocabulary. As a consequence, they ask questions of adults and peers, which sometimes enhance learning.</w:t>
            </w:r>
          </w:p>
        </w:tc>
        <w:tc>
          <w:tcPr>
            <w:tcW w:w="3260" w:type="dxa"/>
          </w:tcPr>
          <w:p w14:paraId="0018CDFF"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Pupils are hesitant and unsure in their articulation of what they have learned in religious education. They rarely ask questions, or their questions are not relevant to their learning.</w:t>
            </w:r>
          </w:p>
        </w:tc>
      </w:tr>
      <w:tr w:rsidR="00F32A3B" w:rsidRPr="00710B25" w14:paraId="37812D40" w14:textId="77777777" w:rsidTr="00382D2C">
        <w:tc>
          <w:tcPr>
            <w:tcW w:w="4248" w:type="dxa"/>
          </w:tcPr>
          <w:p w14:paraId="627FB14D"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show notable independence in their learning; they can think for themselves, synthesizing what they have learned in original and creative ways. As a consequence, they concentrate exceptionally well, love the challenge of learning and are curious, interested learners</w:t>
            </w:r>
          </w:p>
        </w:tc>
        <w:tc>
          <w:tcPr>
            <w:tcW w:w="3685" w:type="dxa"/>
          </w:tcPr>
          <w:p w14:paraId="57C1B5D5"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are able to work independently and take the initiative in their learning when given the opportunity to do so. As a consequence, they concentrate well, and respond to the challenge of learning.</w:t>
            </w:r>
          </w:p>
        </w:tc>
        <w:tc>
          <w:tcPr>
            <w:tcW w:w="3261" w:type="dxa"/>
          </w:tcPr>
          <w:p w14:paraId="3D698492"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demonstrate a limited ability to work independently and take the initiative in their learning. They struggle to concentrate and respond in a limited way to the challenge of learning.</w:t>
            </w:r>
          </w:p>
        </w:tc>
        <w:tc>
          <w:tcPr>
            <w:tcW w:w="3260" w:type="dxa"/>
          </w:tcPr>
          <w:p w14:paraId="140FA6DD"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Pupils rarely, if ever, work independently. They frequently lack concentration.</w:t>
            </w:r>
          </w:p>
        </w:tc>
      </w:tr>
      <w:tr w:rsidR="00F32A3B" w:rsidRPr="00710B25" w14:paraId="02F10596" w14:textId="77777777" w:rsidTr="00382D2C">
        <w:tc>
          <w:tcPr>
            <w:tcW w:w="4248" w:type="dxa"/>
          </w:tcPr>
          <w:p w14:paraId="71B1B63B"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produce work of a consistently high quality, demonstrating excellent presentation, individuality and creativity. This motivates high performance from others through the modelling and displaying of excellent work.</w:t>
            </w:r>
          </w:p>
        </w:tc>
        <w:tc>
          <w:tcPr>
            <w:tcW w:w="3685" w:type="dxa"/>
          </w:tcPr>
          <w:p w14:paraId="49A8E84C"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produce good work that is presented well and shows signs of emerging individuality and creativity. Through the modelling and displaying of this work other pupils are encouraged to strive to improve.</w:t>
            </w:r>
          </w:p>
        </w:tc>
        <w:tc>
          <w:tcPr>
            <w:tcW w:w="3261" w:type="dxa"/>
          </w:tcPr>
          <w:p w14:paraId="6FE496FB"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produce work that is inconsistent in its quality, showing limited evidence of individuality and creativity.</w:t>
            </w:r>
          </w:p>
        </w:tc>
        <w:tc>
          <w:tcPr>
            <w:tcW w:w="3260" w:type="dxa"/>
          </w:tcPr>
          <w:p w14:paraId="2F810030" w14:textId="77777777" w:rsidR="00F32A3B" w:rsidRPr="00A955BC" w:rsidRDefault="006223E8" w:rsidP="00F32A3B">
            <w:pPr>
              <w:rPr>
                <w:rFonts w:ascii="Geometr415 Lt BT" w:hAnsi="Geometr415 Lt BT"/>
                <w:sz w:val="18"/>
                <w:szCs w:val="18"/>
                <w:highlight w:val="red"/>
              </w:rPr>
            </w:pPr>
            <w:r w:rsidRPr="00A955BC">
              <w:rPr>
                <w:rFonts w:ascii="Geometr415 Lt BT" w:hAnsi="Geometr415 Lt BT"/>
                <w:highlight w:val="red"/>
              </w:rPr>
              <w:t>Pupils produce work that is poorly presented, showing little if any, individuality or creativity; it is deficient both in terms of quality and quantity.</w:t>
            </w:r>
          </w:p>
        </w:tc>
      </w:tr>
      <w:tr w:rsidR="00F32A3B" w:rsidRPr="00710B25" w14:paraId="0C22A948" w14:textId="77777777" w:rsidTr="00382D2C">
        <w:tc>
          <w:tcPr>
            <w:tcW w:w="4248" w:type="dxa"/>
          </w:tcPr>
          <w:p w14:paraId="736FFE4A"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lastRenderedPageBreak/>
              <w:t>Pupils are actively engaged in lessons; they are reflective and are highly committed to improving their knowledge, understanding and skills, in order to further develop as competent learners.</w:t>
            </w:r>
          </w:p>
        </w:tc>
        <w:tc>
          <w:tcPr>
            <w:tcW w:w="3685" w:type="dxa"/>
          </w:tcPr>
          <w:p w14:paraId="2A7B62EF"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engage in lessons and show a willingness to improve their knowledge, understanding and skills, in order to further develop as competent learners.</w:t>
            </w:r>
          </w:p>
        </w:tc>
        <w:tc>
          <w:tcPr>
            <w:tcW w:w="3261" w:type="dxa"/>
          </w:tcPr>
          <w:p w14:paraId="5A8F3394"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participate in their lessons but with limited motivation to improve their knowledge, understanding and skills as learners.</w:t>
            </w:r>
          </w:p>
        </w:tc>
        <w:tc>
          <w:tcPr>
            <w:tcW w:w="3260" w:type="dxa"/>
          </w:tcPr>
          <w:p w14:paraId="42BA9CEB" w14:textId="77777777" w:rsidR="00F32A3B" w:rsidRPr="00A955BC" w:rsidRDefault="00F80DEF" w:rsidP="00F32A3B">
            <w:pPr>
              <w:rPr>
                <w:rFonts w:ascii="Geometr415 Lt BT" w:hAnsi="Geometr415 Lt BT"/>
                <w:sz w:val="18"/>
                <w:szCs w:val="18"/>
                <w:highlight w:val="red"/>
              </w:rPr>
            </w:pPr>
            <w:r w:rsidRPr="00A955BC">
              <w:rPr>
                <w:rFonts w:ascii="Geometr415 Lt BT" w:hAnsi="Geometr415 Lt BT"/>
                <w:highlight w:val="red"/>
              </w:rPr>
              <w:t>Pupils are not engaged in lessons and have little interest in the subject.</w:t>
            </w:r>
          </w:p>
        </w:tc>
      </w:tr>
      <w:tr w:rsidR="00F32A3B" w:rsidRPr="00710B25" w14:paraId="32EB42E2" w14:textId="77777777" w:rsidTr="00382D2C">
        <w:tc>
          <w:tcPr>
            <w:tcW w:w="4248" w:type="dxa"/>
          </w:tcPr>
          <w:p w14:paraId="28C4F4B1"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enjoy their learning and approach lessons with great interest, passion and enthusiasm. As a consequence, behaviour in lessons is outstanding because almost all pupils enjoy religious education and they remain fully engaged even in extended periods without direction from an adult.</w:t>
            </w:r>
          </w:p>
        </w:tc>
        <w:tc>
          <w:tcPr>
            <w:tcW w:w="3685" w:type="dxa"/>
          </w:tcPr>
          <w:p w14:paraId="26EBF35C"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enjoy their learning and approach their lessons with interest and enthusiasm. As a consequence, behaviour in lessons is good because most pupils enjoy religious education and are usually engaged.</w:t>
            </w:r>
          </w:p>
        </w:tc>
        <w:tc>
          <w:tcPr>
            <w:tcW w:w="3261" w:type="dxa"/>
          </w:tcPr>
          <w:p w14:paraId="44E3C7B8"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show limited interest and little enjoyment of learning in religious education. As a consequence, behaviour in lessons is varied and disruptions in lessons sometimes take place.</w:t>
            </w:r>
          </w:p>
        </w:tc>
        <w:tc>
          <w:tcPr>
            <w:tcW w:w="3260" w:type="dxa"/>
          </w:tcPr>
          <w:p w14:paraId="7171B9A1" w14:textId="77777777" w:rsidR="00F32A3B" w:rsidRPr="00A955BC" w:rsidRDefault="00F80DEF" w:rsidP="00F32A3B">
            <w:pPr>
              <w:rPr>
                <w:rFonts w:ascii="Geometr415 Lt BT" w:hAnsi="Geometr415 Lt BT"/>
                <w:sz w:val="18"/>
                <w:szCs w:val="18"/>
                <w:highlight w:val="red"/>
              </w:rPr>
            </w:pPr>
            <w:r w:rsidRPr="00A955BC">
              <w:rPr>
                <w:rFonts w:ascii="Geometr415 Lt BT" w:hAnsi="Geometr415 Lt BT"/>
                <w:highlight w:val="red"/>
              </w:rPr>
              <w:t>Pupils show little or no enjoyment of their learning in religious education. As a consequence, their behaviour in lessons is disruptive and not conducive to learning.</w:t>
            </w:r>
          </w:p>
        </w:tc>
      </w:tr>
      <w:tr w:rsidR="00F32A3B" w:rsidRPr="00710B25" w14:paraId="0732AC5B" w14:textId="77777777" w:rsidTr="00382D2C">
        <w:tc>
          <w:tcPr>
            <w:tcW w:w="4248" w:type="dxa"/>
          </w:tcPr>
          <w:p w14:paraId="0671B970"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have a clear understanding of how well they are doing, of what they need to do to improve, and can fully articulate how they have made progress.</w:t>
            </w:r>
          </w:p>
        </w:tc>
        <w:tc>
          <w:tcPr>
            <w:tcW w:w="3685" w:type="dxa"/>
          </w:tcPr>
          <w:p w14:paraId="53E3AF4A"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 xml:space="preserve">Pupils </w:t>
            </w:r>
            <w:proofErr w:type="gramStart"/>
            <w:r w:rsidRPr="00A955BC">
              <w:rPr>
                <w:rFonts w:ascii="Geometr415 Lt BT" w:hAnsi="Geometr415 Lt BT"/>
                <w:highlight w:val="green"/>
              </w:rPr>
              <w:t>have an understanding of</w:t>
            </w:r>
            <w:proofErr w:type="gramEnd"/>
            <w:r w:rsidRPr="00A955BC">
              <w:rPr>
                <w:rFonts w:ascii="Geometr415 Lt BT" w:hAnsi="Geometr415 Lt BT"/>
                <w:highlight w:val="green"/>
              </w:rPr>
              <w:t xml:space="preserve"> how well they are doing, of what they need to do to improve, and can articulate how they have made progress.</w:t>
            </w:r>
          </w:p>
        </w:tc>
        <w:tc>
          <w:tcPr>
            <w:tcW w:w="3261" w:type="dxa"/>
          </w:tcPr>
          <w:p w14:paraId="60C88D29"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have a limited understanding of how well they are doing and of what they need to do to improve.</w:t>
            </w:r>
          </w:p>
        </w:tc>
        <w:tc>
          <w:tcPr>
            <w:tcW w:w="3260" w:type="dxa"/>
          </w:tcPr>
          <w:p w14:paraId="08DC5196" w14:textId="77777777" w:rsidR="00F32A3B" w:rsidRPr="00A955BC" w:rsidRDefault="00F80DEF" w:rsidP="00F32A3B">
            <w:pPr>
              <w:rPr>
                <w:rFonts w:ascii="Geometr415 Lt BT" w:hAnsi="Geometr415 Lt BT"/>
                <w:sz w:val="18"/>
                <w:szCs w:val="18"/>
                <w:highlight w:val="red"/>
              </w:rPr>
            </w:pPr>
            <w:r w:rsidRPr="00A955BC">
              <w:rPr>
                <w:rFonts w:ascii="Geometr415 Lt BT" w:hAnsi="Geometr415 Lt BT"/>
                <w:highlight w:val="red"/>
              </w:rPr>
              <w:t xml:space="preserve">Pupils </w:t>
            </w:r>
            <w:proofErr w:type="gramStart"/>
            <w:r w:rsidRPr="00A955BC">
              <w:rPr>
                <w:rFonts w:ascii="Geometr415 Lt BT" w:hAnsi="Geometr415 Lt BT"/>
                <w:highlight w:val="red"/>
              </w:rPr>
              <w:t>have no involvement</w:t>
            </w:r>
            <w:proofErr w:type="gramEnd"/>
            <w:r w:rsidRPr="00A955BC">
              <w:rPr>
                <w:rFonts w:ascii="Geometr415 Lt BT" w:hAnsi="Geometr415 Lt BT"/>
                <w:highlight w:val="red"/>
              </w:rPr>
              <w:t xml:space="preserve"> in assessing how well they are learning.</w:t>
            </w:r>
          </w:p>
        </w:tc>
      </w:tr>
      <w:tr w:rsidR="00F32A3B" w:rsidRPr="00710B25" w14:paraId="1A402EE5" w14:textId="77777777" w:rsidTr="00382D2C">
        <w:tc>
          <w:tcPr>
            <w:tcW w:w="4248" w:type="dxa"/>
          </w:tcPr>
          <w:p w14:paraId="3E0ACFC3" w14:textId="77777777" w:rsidR="00F32A3B" w:rsidRPr="00A955BC" w:rsidRDefault="00F32A3B" w:rsidP="00F32A3B">
            <w:pPr>
              <w:rPr>
                <w:rFonts w:ascii="Geometr415 Lt BT" w:hAnsi="Geometr415 Lt BT"/>
                <w:sz w:val="18"/>
                <w:szCs w:val="18"/>
                <w:highlight w:val="cyan"/>
              </w:rPr>
            </w:pPr>
            <w:r w:rsidRPr="00A955BC">
              <w:rPr>
                <w:rFonts w:ascii="Geometr415 Lt BT" w:hAnsi="Geometr415 Lt BT"/>
                <w:highlight w:val="cyan"/>
              </w:rPr>
              <w:t>Pupils achieve above average attainment when compared with other core curriculum subjects or using national data where available. This has been sustained for the last three years for almost all pupils.</w:t>
            </w:r>
          </w:p>
        </w:tc>
        <w:tc>
          <w:tcPr>
            <w:tcW w:w="3685" w:type="dxa"/>
          </w:tcPr>
          <w:p w14:paraId="3FD1483A" w14:textId="77777777" w:rsidR="00F32A3B" w:rsidRPr="00A955BC" w:rsidRDefault="006223E8" w:rsidP="00F32A3B">
            <w:pPr>
              <w:rPr>
                <w:rFonts w:ascii="Geometr415 Lt BT" w:hAnsi="Geometr415 Lt BT"/>
                <w:sz w:val="18"/>
                <w:szCs w:val="18"/>
                <w:highlight w:val="green"/>
              </w:rPr>
            </w:pPr>
            <w:r w:rsidRPr="00A955BC">
              <w:rPr>
                <w:rFonts w:ascii="Geometr415 Lt BT" w:hAnsi="Geometr415 Lt BT"/>
                <w:highlight w:val="green"/>
              </w:rPr>
              <w:t>Pupils achieve at least average attainment when compared with other core curriculum subjects or using national data where available. This has been sustained for the last three years, or if it has not there is an improving trend.</w:t>
            </w:r>
          </w:p>
        </w:tc>
        <w:tc>
          <w:tcPr>
            <w:tcW w:w="3261" w:type="dxa"/>
          </w:tcPr>
          <w:p w14:paraId="5ACCB17C" w14:textId="77777777" w:rsidR="00F32A3B" w:rsidRPr="00A955BC" w:rsidRDefault="006223E8" w:rsidP="00F32A3B">
            <w:pPr>
              <w:rPr>
                <w:rFonts w:ascii="Geometr415 Lt BT" w:hAnsi="Geometr415 Lt BT"/>
                <w:sz w:val="18"/>
                <w:szCs w:val="18"/>
                <w:highlight w:val="yellow"/>
              </w:rPr>
            </w:pPr>
            <w:r w:rsidRPr="00A955BC">
              <w:rPr>
                <w:rFonts w:ascii="Geometr415 Lt BT" w:hAnsi="Geometr415 Lt BT"/>
                <w:highlight w:val="yellow"/>
              </w:rPr>
              <w:t>Pupils do not always achieve average attainment when compared with other core curriculum subjects or national data where available.</w:t>
            </w:r>
          </w:p>
        </w:tc>
        <w:tc>
          <w:tcPr>
            <w:tcW w:w="3260" w:type="dxa"/>
          </w:tcPr>
          <w:p w14:paraId="79C1C8C5" w14:textId="77777777" w:rsidR="00F32A3B" w:rsidRPr="00A955BC" w:rsidRDefault="00F80DEF" w:rsidP="00F32A3B">
            <w:pPr>
              <w:rPr>
                <w:rFonts w:ascii="Geometr415 Lt BT" w:hAnsi="Geometr415 Lt BT"/>
                <w:sz w:val="18"/>
                <w:szCs w:val="18"/>
                <w:highlight w:val="red"/>
              </w:rPr>
            </w:pPr>
            <w:r w:rsidRPr="00A955BC">
              <w:rPr>
                <w:rFonts w:ascii="Geometr415 Lt BT" w:hAnsi="Geometr415 Lt BT"/>
                <w:highlight w:val="red"/>
              </w:rPr>
              <w:t>Most pupils achieve below average attainment when compared with other core curriculum subjects or national data where available.</w:t>
            </w:r>
          </w:p>
        </w:tc>
      </w:tr>
    </w:tbl>
    <w:p w14:paraId="2B53CE73" w14:textId="77777777" w:rsidR="00F32A3B" w:rsidRPr="00710B25" w:rsidRDefault="00F32A3B" w:rsidP="00F32A3B">
      <w:pPr>
        <w:rPr>
          <w:rFonts w:ascii="Geometr415 Lt BT" w:hAnsi="Geometr415 Lt BT"/>
          <w:sz w:val="18"/>
          <w:szCs w:val="18"/>
        </w:rPr>
      </w:pPr>
    </w:p>
    <w:p w14:paraId="4923E1A7" w14:textId="77777777" w:rsidR="006223E8" w:rsidRPr="00710B25" w:rsidRDefault="00F32A3B" w:rsidP="00F32A3B">
      <w:pPr>
        <w:rPr>
          <w:rFonts w:ascii="Geometr415 Lt BT" w:hAnsi="Geometr415 Lt BT"/>
          <w:b/>
          <w:sz w:val="18"/>
          <w:szCs w:val="18"/>
        </w:rPr>
      </w:pPr>
      <w:r w:rsidRPr="00710B25">
        <w:rPr>
          <w:rFonts w:ascii="Geometr415 Lt BT" w:hAnsi="Geometr415 Lt BT"/>
          <w:b/>
          <w:sz w:val="18"/>
          <w:szCs w:val="18"/>
        </w:rPr>
        <w:t xml:space="preserve">              </w:t>
      </w:r>
    </w:p>
    <w:p w14:paraId="00948F46" w14:textId="3FA87F26" w:rsidR="00382D2C" w:rsidRPr="00710B25" w:rsidRDefault="00382D2C">
      <w:pPr>
        <w:spacing w:line="259" w:lineRule="auto"/>
        <w:rPr>
          <w:rFonts w:ascii="Geometr415 Lt BT" w:hAnsi="Geometr415 Lt BT"/>
          <w:b/>
          <w:sz w:val="18"/>
          <w:szCs w:val="18"/>
        </w:rPr>
      </w:pPr>
      <w:r w:rsidRPr="00710B25">
        <w:rPr>
          <w:rFonts w:ascii="Geometr415 Lt BT" w:hAnsi="Geometr415 Lt BT"/>
          <w:b/>
          <w:sz w:val="18"/>
          <w:szCs w:val="18"/>
        </w:rPr>
        <w:br w:type="page"/>
      </w:r>
    </w:p>
    <w:p w14:paraId="3E229B03" w14:textId="77777777" w:rsidR="006223E8" w:rsidRPr="00710B25" w:rsidRDefault="006223E8" w:rsidP="00F32A3B">
      <w:pPr>
        <w:rPr>
          <w:rFonts w:ascii="Geometr415 Lt BT" w:hAnsi="Geometr415 Lt BT"/>
          <w:b/>
          <w:sz w:val="18"/>
          <w:szCs w:val="18"/>
        </w:rPr>
      </w:pPr>
    </w:p>
    <w:p w14:paraId="5E492E78" w14:textId="77777777" w:rsidR="00F32A3B" w:rsidRPr="00710B25" w:rsidRDefault="00F32A3B" w:rsidP="00F32A3B">
      <w:pPr>
        <w:rPr>
          <w:rFonts w:ascii="Geometr415 Lt BT" w:hAnsi="Geometr415 Lt BT"/>
          <w:sz w:val="24"/>
          <w:szCs w:val="24"/>
        </w:rPr>
      </w:pPr>
      <w:r w:rsidRPr="00710B25">
        <w:rPr>
          <w:rFonts w:ascii="Geometr415 Lt BT" w:hAnsi="Geometr415 Lt BT"/>
          <w:b/>
          <w:sz w:val="18"/>
          <w:szCs w:val="18"/>
        </w:rPr>
        <w:t xml:space="preserve">    </w:t>
      </w:r>
      <w:r w:rsidRPr="00710B25">
        <w:rPr>
          <w:rFonts w:ascii="Geometr415 Lt BT" w:hAnsi="Geometr415 Lt BT"/>
          <w:b/>
          <w:sz w:val="24"/>
          <w:szCs w:val="24"/>
        </w:rPr>
        <w:t>Option Two</w:t>
      </w:r>
      <w:r w:rsidRPr="00710B25">
        <w:rPr>
          <w:rFonts w:ascii="Geometr415 Lt BT" w:hAnsi="Geometr415 Lt BT"/>
          <w:sz w:val="24"/>
          <w:szCs w:val="24"/>
        </w:rPr>
        <w:t xml:space="preserve"> – Complete the ‘Audit Tool’ below</w:t>
      </w:r>
    </w:p>
    <w:tbl>
      <w:tblPr>
        <w:tblStyle w:val="TableGrid"/>
        <w:tblW w:w="14454" w:type="dxa"/>
        <w:tblLook w:val="04A0" w:firstRow="1" w:lastRow="0" w:firstColumn="1" w:lastColumn="0" w:noHBand="0" w:noVBand="1"/>
      </w:tblPr>
      <w:tblGrid>
        <w:gridCol w:w="9634"/>
        <w:gridCol w:w="1701"/>
        <w:gridCol w:w="1560"/>
        <w:gridCol w:w="1559"/>
      </w:tblGrid>
      <w:tr w:rsidR="00F32A3B" w:rsidRPr="00710B25" w14:paraId="06151B5D" w14:textId="77777777" w:rsidTr="00382D2C">
        <w:tc>
          <w:tcPr>
            <w:tcW w:w="9634" w:type="dxa"/>
          </w:tcPr>
          <w:p w14:paraId="38889AB8" w14:textId="77777777" w:rsidR="00F32A3B" w:rsidRPr="00710B25" w:rsidRDefault="00F32A3B">
            <w:pPr>
              <w:rPr>
                <w:rFonts w:ascii="Geometr415 Lt BT" w:hAnsi="Geometr415 Lt BT"/>
              </w:rPr>
            </w:pPr>
          </w:p>
        </w:tc>
        <w:tc>
          <w:tcPr>
            <w:tcW w:w="1701" w:type="dxa"/>
          </w:tcPr>
          <w:p w14:paraId="6BA46413" w14:textId="77777777" w:rsidR="00F32A3B" w:rsidRPr="00A955BC" w:rsidRDefault="006223E8">
            <w:pPr>
              <w:rPr>
                <w:rFonts w:ascii="Geometr415 Lt BT" w:hAnsi="Geometr415 Lt BT"/>
                <w:b/>
              </w:rPr>
            </w:pPr>
            <w:r w:rsidRPr="00A955BC">
              <w:rPr>
                <w:rFonts w:ascii="Geometr415 Lt BT" w:hAnsi="Geometr415 Lt BT"/>
                <w:b/>
                <w:highlight w:val="green"/>
              </w:rPr>
              <w:t>Fully</w:t>
            </w:r>
          </w:p>
        </w:tc>
        <w:tc>
          <w:tcPr>
            <w:tcW w:w="1560" w:type="dxa"/>
          </w:tcPr>
          <w:p w14:paraId="1CA027F0" w14:textId="77777777" w:rsidR="00F32A3B" w:rsidRPr="00710B25" w:rsidRDefault="006223E8">
            <w:pPr>
              <w:rPr>
                <w:rFonts w:ascii="Geometr415 Lt BT" w:hAnsi="Geometr415 Lt BT"/>
              </w:rPr>
            </w:pPr>
            <w:r w:rsidRPr="00A955BC">
              <w:rPr>
                <w:rFonts w:ascii="Geometr415 Lt BT" w:hAnsi="Geometr415 Lt BT"/>
                <w:highlight w:val="yellow"/>
              </w:rPr>
              <w:t>Partially</w:t>
            </w:r>
          </w:p>
        </w:tc>
        <w:tc>
          <w:tcPr>
            <w:tcW w:w="1559" w:type="dxa"/>
          </w:tcPr>
          <w:p w14:paraId="4728DF8E" w14:textId="77777777" w:rsidR="00F32A3B" w:rsidRPr="00710B25" w:rsidRDefault="006223E8">
            <w:pPr>
              <w:rPr>
                <w:rFonts w:ascii="Geometr415 Lt BT" w:hAnsi="Geometr415 Lt BT"/>
              </w:rPr>
            </w:pPr>
            <w:r w:rsidRPr="00A955BC">
              <w:rPr>
                <w:rFonts w:ascii="Geometr415 Lt BT" w:hAnsi="Geometr415 Lt BT"/>
                <w:highlight w:val="red"/>
              </w:rPr>
              <w:t>Not evidenced</w:t>
            </w:r>
          </w:p>
        </w:tc>
      </w:tr>
      <w:tr w:rsidR="00F32A3B" w:rsidRPr="00710B25" w14:paraId="3C6F1A3C" w14:textId="77777777" w:rsidTr="00382D2C">
        <w:tc>
          <w:tcPr>
            <w:tcW w:w="9634" w:type="dxa"/>
          </w:tcPr>
          <w:p w14:paraId="72C76AEA" w14:textId="77777777" w:rsidR="00F32A3B" w:rsidRPr="00710B25" w:rsidRDefault="006223E8">
            <w:pPr>
              <w:rPr>
                <w:rFonts w:ascii="Geometr415 Lt BT" w:hAnsi="Geometr415 Lt BT"/>
              </w:rPr>
            </w:pPr>
            <w:r w:rsidRPr="00710B25">
              <w:rPr>
                <w:rFonts w:ascii="Geometr415 Lt BT" w:hAnsi="Geometr415 Lt BT"/>
              </w:rPr>
              <w:t>Pupils are developing secure knowledge, understanding and skills that reflect the learning required by the Religious Education Curriculum Directory.</w:t>
            </w:r>
          </w:p>
        </w:tc>
        <w:tc>
          <w:tcPr>
            <w:tcW w:w="1701" w:type="dxa"/>
          </w:tcPr>
          <w:p w14:paraId="675D92AF" w14:textId="77777777" w:rsidR="00F32A3B" w:rsidRPr="00710B25" w:rsidRDefault="00F32A3B">
            <w:pPr>
              <w:rPr>
                <w:rFonts w:ascii="Geometr415 Lt BT" w:hAnsi="Geometr415 Lt BT"/>
              </w:rPr>
            </w:pPr>
          </w:p>
        </w:tc>
        <w:tc>
          <w:tcPr>
            <w:tcW w:w="1560" w:type="dxa"/>
          </w:tcPr>
          <w:p w14:paraId="0BD13133" w14:textId="77777777" w:rsidR="00F32A3B" w:rsidRPr="00710B25" w:rsidRDefault="00F32A3B">
            <w:pPr>
              <w:rPr>
                <w:rFonts w:ascii="Geometr415 Lt BT" w:hAnsi="Geometr415 Lt BT"/>
              </w:rPr>
            </w:pPr>
          </w:p>
        </w:tc>
        <w:tc>
          <w:tcPr>
            <w:tcW w:w="1559" w:type="dxa"/>
          </w:tcPr>
          <w:p w14:paraId="73591B09" w14:textId="77777777" w:rsidR="00F32A3B" w:rsidRPr="00710B25" w:rsidRDefault="00F32A3B">
            <w:pPr>
              <w:rPr>
                <w:rFonts w:ascii="Geometr415 Lt BT" w:hAnsi="Geometr415 Lt BT"/>
              </w:rPr>
            </w:pPr>
          </w:p>
        </w:tc>
      </w:tr>
      <w:tr w:rsidR="00F32A3B" w:rsidRPr="00710B25" w14:paraId="77F6782B" w14:textId="77777777" w:rsidTr="00382D2C">
        <w:tc>
          <w:tcPr>
            <w:tcW w:w="9634" w:type="dxa"/>
          </w:tcPr>
          <w:p w14:paraId="0D4E5447" w14:textId="77777777" w:rsidR="00F32A3B" w:rsidRPr="00710B25" w:rsidRDefault="006223E8">
            <w:pPr>
              <w:rPr>
                <w:rFonts w:ascii="Geometr415 Lt BT" w:hAnsi="Geometr415 Lt BT"/>
              </w:rPr>
            </w:pPr>
            <w:r w:rsidRPr="00710B25">
              <w:rPr>
                <w:rFonts w:ascii="Geometr415 Lt BT" w:hAnsi="Geometr415 Lt BT"/>
              </w:rPr>
              <w:t>Pupil progress from starting points is above average when compared with other core curriculum subjects in school or with national averages where available. If it is not, it displays an historical and consistent trend of improvement in that direction.</w:t>
            </w:r>
          </w:p>
        </w:tc>
        <w:tc>
          <w:tcPr>
            <w:tcW w:w="1701" w:type="dxa"/>
          </w:tcPr>
          <w:p w14:paraId="1103F187" w14:textId="77777777" w:rsidR="00F32A3B" w:rsidRPr="00710B25" w:rsidRDefault="00F32A3B">
            <w:pPr>
              <w:rPr>
                <w:rFonts w:ascii="Geometr415 Lt BT" w:hAnsi="Geometr415 Lt BT"/>
              </w:rPr>
            </w:pPr>
          </w:p>
        </w:tc>
        <w:tc>
          <w:tcPr>
            <w:tcW w:w="1560" w:type="dxa"/>
          </w:tcPr>
          <w:p w14:paraId="5F557154" w14:textId="77777777" w:rsidR="00F32A3B" w:rsidRPr="00710B25" w:rsidRDefault="00F32A3B">
            <w:pPr>
              <w:rPr>
                <w:rFonts w:ascii="Geometr415 Lt BT" w:hAnsi="Geometr415 Lt BT"/>
              </w:rPr>
            </w:pPr>
          </w:p>
        </w:tc>
        <w:tc>
          <w:tcPr>
            <w:tcW w:w="1559" w:type="dxa"/>
          </w:tcPr>
          <w:p w14:paraId="6BE98093" w14:textId="77777777" w:rsidR="00F32A3B" w:rsidRPr="00710B25" w:rsidRDefault="00F32A3B">
            <w:pPr>
              <w:rPr>
                <w:rFonts w:ascii="Geometr415 Lt BT" w:hAnsi="Geometr415 Lt BT"/>
              </w:rPr>
            </w:pPr>
          </w:p>
        </w:tc>
      </w:tr>
      <w:tr w:rsidR="00F32A3B" w:rsidRPr="00710B25" w14:paraId="462AA458" w14:textId="77777777" w:rsidTr="00382D2C">
        <w:tc>
          <w:tcPr>
            <w:tcW w:w="9634" w:type="dxa"/>
          </w:tcPr>
          <w:p w14:paraId="456CF1B2" w14:textId="77777777" w:rsidR="00F32A3B" w:rsidRPr="00710B25" w:rsidRDefault="006223E8">
            <w:pPr>
              <w:rPr>
                <w:rFonts w:ascii="Geometr415 Lt BT" w:hAnsi="Geometr415 Lt BT"/>
              </w:rPr>
            </w:pPr>
            <w:r w:rsidRPr="00710B25">
              <w:rPr>
                <w:rFonts w:ascii="Geometr415 Lt BT" w:hAnsi="Geometr415 Lt BT"/>
              </w:rPr>
              <w:t>The progress of groups with specific needs is close to or is improving towards that of other pupils with the same starting points.</w:t>
            </w:r>
          </w:p>
        </w:tc>
        <w:tc>
          <w:tcPr>
            <w:tcW w:w="1701" w:type="dxa"/>
          </w:tcPr>
          <w:p w14:paraId="7F811F0A" w14:textId="77777777" w:rsidR="00F32A3B" w:rsidRPr="00710B25" w:rsidRDefault="00F32A3B">
            <w:pPr>
              <w:rPr>
                <w:rFonts w:ascii="Geometr415 Lt BT" w:hAnsi="Geometr415 Lt BT"/>
              </w:rPr>
            </w:pPr>
          </w:p>
        </w:tc>
        <w:tc>
          <w:tcPr>
            <w:tcW w:w="1560" w:type="dxa"/>
          </w:tcPr>
          <w:p w14:paraId="1790B99F" w14:textId="77777777" w:rsidR="00F32A3B" w:rsidRPr="00710B25" w:rsidRDefault="00F32A3B">
            <w:pPr>
              <w:rPr>
                <w:rFonts w:ascii="Geometr415 Lt BT" w:hAnsi="Geometr415 Lt BT"/>
              </w:rPr>
            </w:pPr>
          </w:p>
        </w:tc>
        <w:tc>
          <w:tcPr>
            <w:tcW w:w="1559" w:type="dxa"/>
          </w:tcPr>
          <w:p w14:paraId="262DCD53" w14:textId="77777777" w:rsidR="00F32A3B" w:rsidRPr="00710B25" w:rsidRDefault="00F32A3B">
            <w:pPr>
              <w:rPr>
                <w:rFonts w:ascii="Geometr415 Lt BT" w:hAnsi="Geometr415 Lt BT"/>
              </w:rPr>
            </w:pPr>
          </w:p>
        </w:tc>
      </w:tr>
      <w:tr w:rsidR="00F32A3B" w:rsidRPr="00710B25" w14:paraId="15681D92" w14:textId="77777777" w:rsidTr="00382D2C">
        <w:tc>
          <w:tcPr>
            <w:tcW w:w="9634" w:type="dxa"/>
          </w:tcPr>
          <w:p w14:paraId="6CEFB0D6" w14:textId="77777777" w:rsidR="00F32A3B" w:rsidRPr="00710B25" w:rsidRDefault="006223E8">
            <w:pPr>
              <w:rPr>
                <w:rFonts w:ascii="Geometr415 Lt BT" w:hAnsi="Geometr415 Lt BT"/>
              </w:rPr>
            </w:pPr>
            <w:r w:rsidRPr="00710B25">
              <w:rPr>
                <w:rFonts w:ascii="Geometr415 Lt BT" w:hAnsi="Geometr415 Lt BT"/>
              </w:rPr>
              <w:t>Pupils, relative to their age and capacity, are religiously literate and engaged young people; they use their knowledge, understanding and skills, to reflect spiritually, and to think ethically and theologically. As a consequence, most pupils are aware of the demands of religious commitment in everyday life.</w:t>
            </w:r>
          </w:p>
        </w:tc>
        <w:tc>
          <w:tcPr>
            <w:tcW w:w="1701" w:type="dxa"/>
          </w:tcPr>
          <w:p w14:paraId="425FFF06" w14:textId="77777777" w:rsidR="00F32A3B" w:rsidRPr="00710B25" w:rsidRDefault="00F32A3B">
            <w:pPr>
              <w:rPr>
                <w:rFonts w:ascii="Geometr415 Lt BT" w:hAnsi="Geometr415 Lt BT"/>
              </w:rPr>
            </w:pPr>
          </w:p>
        </w:tc>
        <w:tc>
          <w:tcPr>
            <w:tcW w:w="1560" w:type="dxa"/>
          </w:tcPr>
          <w:p w14:paraId="77C757A0" w14:textId="77777777" w:rsidR="00F32A3B" w:rsidRPr="00710B25" w:rsidRDefault="00F32A3B">
            <w:pPr>
              <w:rPr>
                <w:rFonts w:ascii="Geometr415 Lt BT" w:hAnsi="Geometr415 Lt BT"/>
              </w:rPr>
            </w:pPr>
          </w:p>
        </w:tc>
        <w:tc>
          <w:tcPr>
            <w:tcW w:w="1559" w:type="dxa"/>
          </w:tcPr>
          <w:p w14:paraId="35799C26" w14:textId="77777777" w:rsidR="00F32A3B" w:rsidRPr="00710B25" w:rsidRDefault="00F32A3B">
            <w:pPr>
              <w:rPr>
                <w:rFonts w:ascii="Geometr415 Lt BT" w:hAnsi="Geometr415 Lt BT"/>
              </w:rPr>
            </w:pPr>
          </w:p>
        </w:tc>
        <w:bookmarkStart w:id="0" w:name="_GoBack"/>
        <w:bookmarkEnd w:id="0"/>
      </w:tr>
      <w:tr w:rsidR="00F32A3B" w:rsidRPr="00710B25" w14:paraId="03D7B152" w14:textId="77777777" w:rsidTr="00382D2C">
        <w:tc>
          <w:tcPr>
            <w:tcW w:w="9634" w:type="dxa"/>
          </w:tcPr>
          <w:p w14:paraId="5643339E" w14:textId="77777777" w:rsidR="00F32A3B" w:rsidRPr="00710B25" w:rsidRDefault="006223E8">
            <w:pPr>
              <w:rPr>
                <w:rFonts w:ascii="Geometr415 Lt BT" w:hAnsi="Geometr415 Lt BT"/>
              </w:rPr>
            </w:pPr>
            <w:r w:rsidRPr="00710B25">
              <w:rPr>
                <w:rFonts w:ascii="Geometr415 Lt BT" w:hAnsi="Geometr415 Lt BT"/>
              </w:rPr>
              <w:t>Pupils can speak with confidence about what they have learned in religious education, showing an awareness of key concepts and using some subject-specific vocabulary. As a consequence, they are able to ask good questions of adults and peers, which enhance learning.</w:t>
            </w:r>
          </w:p>
        </w:tc>
        <w:tc>
          <w:tcPr>
            <w:tcW w:w="1701" w:type="dxa"/>
          </w:tcPr>
          <w:p w14:paraId="6B201C79" w14:textId="77777777" w:rsidR="00F32A3B" w:rsidRPr="00710B25" w:rsidRDefault="00F32A3B">
            <w:pPr>
              <w:rPr>
                <w:rFonts w:ascii="Geometr415 Lt BT" w:hAnsi="Geometr415 Lt BT"/>
              </w:rPr>
            </w:pPr>
          </w:p>
        </w:tc>
        <w:tc>
          <w:tcPr>
            <w:tcW w:w="1560" w:type="dxa"/>
          </w:tcPr>
          <w:p w14:paraId="49F13343" w14:textId="77777777" w:rsidR="00F32A3B" w:rsidRPr="00710B25" w:rsidRDefault="00F32A3B">
            <w:pPr>
              <w:rPr>
                <w:rFonts w:ascii="Geometr415 Lt BT" w:hAnsi="Geometr415 Lt BT"/>
              </w:rPr>
            </w:pPr>
          </w:p>
        </w:tc>
        <w:tc>
          <w:tcPr>
            <w:tcW w:w="1559" w:type="dxa"/>
          </w:tcPr>
          <w:p w14:paraId="45485AFF" w14:textId="77777777" w:rsidR="00F32A3B" w:rsidRPr="00710B25" w:rsidRDefault="00F32A3B">
            <w:pPr>
              <w:rPr>
                <w:rFonts w:ascii="Geometr415 Lt BT" w:hAnsi="Geometr415 Lt BT"/>
              </w:rPr>
            </w:pPr>
          </w:p>
        </w:tc>
      </w:tr>
      <w:tr w:rsidR="00F32A3B" w:rsidRPr="00710B25" w14:paraId="44619E3F" w14:textId="77777777" w:rsidTr="00382D2C">
        <w:tc>
          <w:tcPr>
            <w:tcW w:w="9634" w:type="dxa"/>
          </w:tcPr>
          <w:p w14:paraId="04BA519D" w14:textId="77777777" w:rsidR="00F32A3B" w:rsidRPr="00710B25" w:rsidRDefault="006223E8">
            <w:pPr>
              <w:rPr>
                <w:rFonts w:ascii="Geometr415 Lt BT" w:hAnsi="Geometr415 Lt BT"/>
              </w:rPr>
            </w:pPr>
            <w:r w:rsidRPr="00710B25">
              <w:rPr>
                <w:rFonts w:ascii="Geometr415 Lt BT" w:hAnsi="Geometr415 Lt BT"/>
              </w:rPr>
              <w:t>Pupils are able to work independently and take the initiative in their learning when given the opportunity to do so. As a consequence, they concentrate well, and respond to the challenge of learning.</w:t>
            </w:r>
          </w:p>
        </w:tc>
        <w:tc>
          <w:tcPr>
            <w:tcW w:w="1701" w:type="dxa"/>
          </w:tcPr>
          <w:p w14:paraId="7AD997B3" w14:textId="77777777" w:rsidR="00F32A3B" w:rsidRPr="00710B25" w:rsidRDefault="00F32A3B">
            <w:pPr>
              <w:rPr>
                <w:rFonts w:ascii="Geometr415 Lt BT" w:hAnsi="Geometr415 Lt BT"/>
              </w:rPr>
            </w:pPr>
          </w:p>
        </w:tc>
        <w:tc>
          <w:tcPr>
            <w:tcW w:w="1560" w:type="dxa"/>
          </w:tcPr>
          <w:p w14:paraId="089D998E" w14:textId="77777777" w:rsidR="00F32A3B" w:rsidRPr="00710B25" w:rsidRDefault="00F32A3B">
            <w:pPr>
              <w:rPr>
                <w:rFonts w:ascii="Geometr415 Lt BT" w:hAnsi="Geometr415 Lt BT"/>
              </w:rPr>
            </w:pPr>
          </w:p>
        </w:tc>
        <w:tc>
          <w:tcPr>
            <w:tcW w:w="1559" w:type="dxa"/>
          </w:tcPr>
          <w:p w14:paraId="211882E0" w14:textId="77777777" w:rsidR="00F32A3B" w:rsidRPr="00710B25" w:rsidRDefault="00F32A3B">
            <w:pPr>
              <w:rPr>
                <w:rFonts w:ascii="Geometr415 Lt BT" w:hAnsi="Geometr415 Lt BT"/>
              </w:rPr>
            </w:pPr>
          </w:p>
        </w:tc>
      </w:tr>
      <w:tr w:rsidR="00F32A3B" w:rsidRPr="00710B25" w14:paraId="5651FEA0" w14:textId="77777777" w:rsidTr="00382D2C">
        <w:tc>
          <w:tcPr>
            <w:tcW w:w="9634" w:type="dxa"/>
          </w:tcPr>
          <w:p w14:paraId="7000ACAD" w14:textId="77777777" w:rsidR="00F32A3B" w:rsidRPr="00710B25" w:rsidRDefault="006223E8">
            <w:pPr>
              <w:rPr>
                <w:rFonts w:ascii="Geometr415 Lt BT" w:hAnsi="Geometr415 Lt BT"/>
              </w:rPr>
            </w:pPr>
            <w:r w:rsidRPr="00710B25">
              <w:rPr>
                <w:rFonts w:ascii="Geometr415 Lt BT" w:hAnsi="Geometr415 Lt BT"/>
              </w:rPr>
              <w:t>Pupils produce good work that is presented well and shows signs of emerging individuality and creativity. Through the modelling and displaying of this work other pupils are encouraged to strive to improve.</w:t>
            </w:r>
          </w:p>
        </w:tc>
        <w:tc>
          <w:tcPr>
            <w:tcW w:w="1701" w:type="dxa"/>
          </w:tcPr>
          <w:p w14:paraId="64ED6839" w14:textId="77777777" w:rsidR="00F32A3B" w:rsidRPr="00710B25" w:rsidRDefault="00F32A3B">
            <w:pPr>
              <w:rPr>
                <w:rFonts w:ascii="Geometr415 Lt BT" w:hAnsi="Geometr415 Lt BT"/>
              </w:rPr>
            </w:pPr>
          </w:p>
        </w:tc>
        <w:tc>
          <w:tcPr>
            <w:tcW w:w="1560" w:type="dxa"/>
          </w:tcPr>
          <w:p w14:paraId="02C44AD2" w14:textId="77777777" w:rsidR="00F32A3B" w:rsidRPr="00710B25" w:rsidRDefault="00F32A3B">
            <w:pPr>
              <w:rPr>
                <w:rFonts w:ascii="Geometr415 Lt BT" w:hAnsi="Geometr415 Lt BT"/>
              </w:rPr>
            </w:pPr>
          </w:p>
        </w:tc>
        <w:tc>
          <w:tcPr>
            <w:tcW w:w="1559" w:type="dxa"/>
          </w:tcPr>
          <w:p w14:paraId="3F771449" w14:textId="77777777" w:rsidR="00F32A3B" w:rsidRPr="00710B25" w:rsidRDefault="00F32A3B">
            <w:pPr>
              <w:rPr>
                <w:rFonts w:ascii="Geometr415 Lt BT" w:hAnsi="Geometr415 Lt BT"/>
              </w:rPr>
            </w:pPr>
          </w:p>
        </w:tc>
      </w:tr>
      <w:tr w:rsidR="00F32A3B" w:rsidRPr="00710B25" w14:paraId="3766341B" w14:textId="77777777" w:rsidTr="00382D2C">
        <w:tc>
          <w:tcPr>
            <w:tcW w:w="9634" w:type="dxa"/>
          </w:tcPr>
          <w:p w14:paraId="22A22342" w14:textId="77777777" w:rsidR="00F32A3B" w:rsidRPr="00710B25" w:rsidRDefault="006223E8">
            <w:pPr>
              <w:rPr>
                <w:rFonts w:ascii="Geometr415 Lt BT" w:hAnsi="Geometr415 Lt BT"/>
              </w:rPr>
            </w:pPr>
            <w:r w:rsidRPr="00710B25">
              <w:rPr>
                <w:rFonts w:ascii="Geometr415 Lt BT" w:hAnsi="Geometr415 Lt BT"/>
              </w:rPr>
              <w:t>Pupils engage in lessons and show a willingness to improve their knowledge, understanding and skills, in order to further develop as competent learners.</w:t>
            </w:r>
          </w:p>
        </w:tc>
        <w:tc>
          <w:tcPr>
            <w:tcW w:w="1701" w:type="dxa"/>
          </w:tcPr>
          <w:p w14:paraId="412F5A5E" w14:textId="77777777" w:rsidR="00F32A3B" w:rsidRPr="00710B25" w:rsidRDefault="00F32A3B">
            <w:pPr>
              <w:rPr>
                <w:rFonts w:ascii="Geometr415 Lt BT" w:hAnsi="Geometr415 Lt BT"/>
              </w:rPr>
            </w:pPr>
          </w:p>
        </w:tc>
        <w:tc>
          <w:tcPr>
            <w:tcW w:w="1560" w:type="dxa"/>
          </w:tcPr>
          <w:p w14:paraId="50AA9540" w14:textId="77777777" w:rsidR="00F32A3B" w:rsidRPr="00710B25" w:rsidRDefault="00F32A3B">
            <w:pPr>
              <w:rPr>
                <w:rFonts w:ascii="Geometr415 Lt BT" w:hAnsi="Geometr415 Lt BT"/>
              </w:rPr>
            </w:pPr>
          </w:p>
        </w:tc>
        <w:tc>
          <w:tcPr>
            <w:tcW w:w="1559" w:type="dxa"/>
          </w:tcPr>
          <w:p w14:paraId="3B2C8E91" w14:textId="77777777" w:rsidR="00F32A3B" w:rsidRPr="00710B25" w:rsidRDefault="00F32A3B">
            <w:pPr>
              <w:rPr>
                <w:rFonts w:ascii="Geometr415 Lt BT" w:hAnsi="Geometr415 Lt BT"/>
              </w:rPr>
            </w:pPr>
          </w:p>
        </w:tc>
      </w:tr>
      <w:tr w:rsidR="00F32A3B" w:rsidRPr="00710B25" w14:paraId="4B03B53B" w14:textId="77777777" w:rsidTr="00382D2C">
        <w:tc>
          <w:tcPr>
            <w:tcW w:w="9634" w:type="dxa"/>
          </w:tcPr>
          <w:p w14:paraId="66E9CB12" w14:textId="77777777" w:rsidR="00F32A3B" w:rsidRPr="00710B25" w:rsidRDefault="006223E8">
            <w:pPr>
              <w:rPr>
                <w:rFonts w:ascii="Geometr415 Lt BT" w:hAnsi="Geometr415 Lt BT"/>
              </w:rPr>
            </w:pPr>
            <w:r w:rsidRPr="00710B25">
              <w:rPr>
                <w:rFonts w:ascii="Geometr415 Lt BT" w:hAnsi="Geometr415 Lt BT"/>
              </w:rPr>
              <w:t>Pupils enjoy their learning and approach their lessons with interest and enthusiasm. As a consequence, behaviour in lessons is good because most pupils enjoy religious education and are usually engaged.</w:t>
            </w:r>
          </w:p>
        </w:tc>
        <w:tc>
          <w:tcPr>
            <w:tcW w:w="1701" w:type="dxa"/>
          </w:tcPr>
          <w:p w14:paraId="32205485" w14:textId="77777777" w:rsidR="00F32A3B" w:rsidRPr="00710B25" w:rsidRDefault="00F32A3B">
            <w:pPr>
              <w:rPr>
                <w:rFonts w:ascii="Geometr415 Lt BT" w:hAnsi="Geometr415 Lt BT"/>
              </w:rPr>
            </w:pPr>
          </w:p>
        </w:tc>
        <w:tc>
          <w:tcPr>
            <w:tcW w:w="1560" w:type="dxa"/>
          </w:tcPr>
          <w:p w14:paraId="1D574A23" w14:textId="77777777" w:rsidR="00F32A3B" w:rsidRPr="00710B25" w:rsidRDefault="00F32A3B">
            <w:pPr>
              <w:rPr>
                <w:rFonts w:ascii="Geometr415 Lt BT" w:hAnsi="Geometr415 Lt BT"/>
              </w:rPr>
            </w:pPr>
          </w:p>
        </w:tc>
        <w:tc>
          <w:tcPr>
            <w:tcW w:w="1559" w:type="dxa"/>
          </w:tcPr>
          <w:p w14:paraId="38C3CFB2" w14:textId="77777777" w:rsidR="00F32A3B" w:rsidRPr="00710B25" w:rsidRDefault="00F32A3B">
            <w:pPr>
              <w:rPr>
                <w:rFonts w:ascii="Geometr415 Lt BT" w:hAnsi="Geometr415 Lt BT"/>
              </w:rPr>
            </w:pPr>
          </w:p>
        </w:tc>
      </w:tr>
      <w:tr w:rsidR="00F32A3B" w:rsidRPr="00710B25" w14:paraId="43F287EA" w14:textId="77777777" w:rsidTr="00382D2C">
        <w:tc>
          <w:tcPr>
            <w:tcW w:w="9634" w:type="dxa"/>
          </w:tcPr>
          <w:p w14:paraId="684C82E8" w14:textId="77777777" w:rsidR="00F32A3B" w:rsidRPr="00710B25" w:rsidRDefault="006223E8">
            <w:pPr>
              <w:rPr>
                <w:rFonts w:ascii="Geometr415 Lt BT" w:hAnsi="Geometr415 Lt BT"/>
              </w:rPr>
            </w:pPr>
            <w:r w:rsidRPr="00710B25">
              <w:rPr>
                <w:rFonts w:ascii="Geometr415 Lt BT" w:hAnsi="Geometr415 Lt BT"/>
              </w:rPr>
              <w:t xml:space="preserve">Pupils </w:t>
            </w:r>
            <w:proofErr w:type="gramStart"/>
            <w:r w:rsidRPr="00710B25">
              <w:rPr>
                <w:rFonts w:ascii="Geometr415 Lt BT" w:hAnsi="Geometr415 Lt BT"/>
              </w:rPr>
              <w:t>have an understanding of</w:t>
            </w:r>
            <w:proofErr w:type="gramEnd"/>
            <w:r w:rsidRPr="00710B25">
              <w:rPr>
                <w:rFonts w:ascii="Geometr415 Lt BT" w:hAnsi="Geometr415 Lt BT"/>
              </w:rPr>
              <w:t xml:space="preserve"> how well they are doing, of what they need to do to improve, and can articulate how they have made progress.</w:t>
            </w:r>
          </w:p>
        </w:tc>
        <w:tc>
          <w:tcPr>
            <w:tcW w:w="1701" w:type="dxa"/>
          </w:tcPr>
          <w:p w14:paraId="5A46DC64" w14:textId="77777777" w:rsidR="00F32A3B" w:rsidRPr="00710B25" w:rsidRDefault="00F32A3B">
            <w:pPr>
              <w:rPr>
                <w:rFonts w:ascii="Geometr415 Lt BT" w:hAnsi="Geometr415 Lt BT"/>
              </w:rPr>
            </w:pPr>
          </w:p>
        </w:tc>
        <w:tc>
          <w:tcPr>
            <w:tcW w:w="1560" w:type="dxa"/>
          </w:tcPr>
          <w:p w14:paraId="6B81C78F" w14:textId="77777777" w:rsidR="00F32A3B" w:rsidRPr="00710B25" w:rsidRDefault="00F32A3B">
            <w:pPr>
              <w:rPr>
                <w:rFonts w:ascii="Geometr415 Lt BT" w:hAnsi="Geometr415 Lt BT"/>
              </w:rPr>
            </w:pPr>
          </w:p>
        </w:tc>
        <w:tc>
          <w:tcPr>
            <w:tcW w:w="1559" w:type="dxa"/>
          </w:tcPr>
          <w:p w14:paraId="6CD1B3FB" w14:textId="77777777" w:rsidR="00F32A3B" w:rsidRPr="00710B25" w:rsidRDefault="00F32A3B">
            <w:pPr>
              <w:rPr>
                <w:rFonts w:ascii="Geometr415 Lt BT" w:hAnsi="Geometr415 Lt BT"/>
              </w:rPr>
            </w:pPr>
          </w:p>
        </w:tc>
      </w:tr>
      <w:tr w:rsidR="00F32A3B" w:rsidRPr="00710B25" w14:paraId="62D65F94" w14:textId="77777777" w:rsidTr="00382D2C">
        <w:tc>
          <w:tcPr>
            <w:tcW w:w="9634" w:type="dxa"/>
          </w:tcPr>
          <w:p w14:paraId="4A54ECDB" w14:textId="77777777" w:rsidR="00F32A3B" w:rsidRPr="00710B25" w:rsidRDefault="006223E8">
            <w:pPr>
              <w:rPr>
                <w:rFonts w:ascii="Geometr415 Lt BT" w:hAnsi="Geometr415 Lt BT"/>
              </w:rPr>
            </w:pPr>
            <w:r w:rsidRPr="00710B25">
              <w:rPr>
                <w:rFonts w:ascii="Geometr415 Lt BT" w:hAnsi="Geometr415 Lt BT"/>
              </w:rPr>
              <w:t>Pupils achieve at least average attainment when compared with other core curriculum subjects or using national data where available. This has been sustained for the last three years, or if it has not there is an improving trend.</w:t>
            </w:r>
          </w:p>
        </w:tc>
        <w:tc>
          <w:tcPr>
            <w:tcW w:w="1701" w:type="dxa"/>
          </w:tcPr>
          <w:p w14:paraId="370F6706" w14:textId="77777777" w:rsidR="00F32A3B" w:rsidRPr="00710B25" w:rsidRDefault="00F32A3B">
            <w:pPr>
              <w:rPr>
                <w:rFonts w:ascii="Geometr415 Lt BT" w:hAnsi="Geometr415 Lt BT"/>
              </w:rPr>
            </w:pPr>
          </w:p>
        </w:tc>
        <w:tc>
          <w:tcPr>
            <w:tcW w:w="1560" w:type="dxa"/>
          </w:tcPr>
          <w:p w14:paraId="64F0265F" w14:textId="77777777" w:rsidR="00F32A3B" w:rsidRPr="00710B25" w:rsidRDefault="00F32A3B">
            <w:pPr>
              <w:rPr>
                <w:rFonts w:ascii="Geometr415 Lt BT" w:hAnsi="Geometr415 Lt BT"/>
              </w:rPr>
            </w:pPr>
          </w:p>
        </w:tc>
        <w:tc>
          <w:tcPr>
            <w:tcW w:w="1559" w:type="dxa"/>
          </w:tcPr>
          <w:p w14:paraId="6BFCF881" w14:textId="77777777" w:rsidR="00F32A3B" w:rsidRPr="00710B25" w:rsidRDefault="00F32A3B">
            <w:pPr>
              <w:rPr>
                <w:rFonts w:ascii="Geometr415 Lt BT" w:hAnsi="Geometr415 Lt BT"/>
              </w:rPr>
            </w:pPr>
          </w:p>
        </w:tc>
      </w:tr>
      <w:tr w:rsidR="006223E8" w:rsidRPr="00710B25" w14:paraId="16BE88CD" w14:textId="77777777" w:rsidTr="00382D2C">
        <w:tc>
          <w:tcPr>
            <w:tcW w:w="9634" w:type="dxa"/>
          </w:tcPr>
          <w:p w14:paraId="551D8E33" w14:textId="77777777" w:rsidR="006223E8" w:rsidRPr="00710B25" w:rsidRDefault="006223E8">
            <w:pPr>
              <w:rPr>
                <w:rFonts w:ascii="Geometr415 Lt BT" w:hAnsi="Geometr415 Lt BT"/>
                <w:b/>
              </w:rPr>
            </w:pPr>
            <w:r w:rsidRPr="00710B25">
              <w:rPr>
                <w:rFonts w:ascii="Geometr415 Lt BT" w:hAnsi="Geometr415 Lt BT"/>
                <w:b/>
              </w:rPr>
              <w:t>ACTION POINTS</w:t>
            </w:r>
          </w:p>
          <w:p w14:paraId="69E527C5" w14:textId="77777777" w:rsidR="006223E8" w:rsidRPr="00710B25" w:rsidRDefault="006223E8">
            <w:pPr>
              <w:rPr>
                <w:rFonts w:ascii="Geometr415 Lt BT" w:hAnsi="Geometr415 Lt BT"/>
              </w:rPr>
            </w:pPr>
          </w:p>
          <w:p w14:paraId="1733AA54" w14:textId="77777777" w:rsidR="006223E8" w:rsidRPr="00710B25" w:rsidRDefault="006223E8">
            <w:pPr>
              <w:rPr>
                <w:rFonts w:ascii="Geometr415 Lt BT" w:hAnsi="Geometr415 Lt BT"/>
              </w:rPr>
            </w:pPr>
          </w:p>
        </w:tc>
        <w:tc>
          <w:tcPr>
            <w:tcW w:w="1701" w:type="dxa"/>
          </w:tcPr>
          <w:p w14:paraId="341A125C" w14:textId="77777777" w:rsidR="006223E8" w:rsidRPr="00710B25" w:rsidRDefault="006223E8">
            <w:pPr>
              <w:rPr>
                <w:rFonts w:ascii="Geometr415 Lt BT" w:hAnsi="Geometr415 Lt BT"/>
              </w:rPr>
            </w:pPr>
          </w:p>
        </w:tc>
        <w:tc>
          <w:tcPr>
            <w:tcW w:w="1560" w:type="dxa"/>
          </w:tcPr>
          <w:p w14:paraId="673F35F3" w14:textId="77777777" w:rsidR="006223E8" w:rsidRPr="00710B25" w:rsidRDefault="006223E8">
            <w:pPr>
              <w:rPr>
                <w:rFonts w:ascii="Geometr415 Lt BT" w:hAnsi="Geometr415 Lt BT"/>
              </w:rPr>
            </w:pPr>
          </w:p>
        </w:tc>
        <w:tc>
          <w:tcPr>
            <w:tcW w:w="1559" w:type="dxa"/>
          </w:tcPr>
          <w:p w14:paraId="7F05A602" w14:textId="77777777" w:rsidR="006223E8" w:rsidRPr="00710B25" w:rsidRDefault="006223E8">
            <w:pPr>
              <w:rPr>
                <w:rFonts w:ascii="Geometr415 Lt BT" w:hAnsi="Geometr415 Lt BT"/>
              </w:rPr>
            </w:pPr>
          </w:p>
        </w:tc>
      </w:tr>
    </w:tbl>
    <w:p w14:paraId="2692CD82" w14:textId="77777777" w:rsidR="00261D2A" w:rsidRPr="00710B25" w:rsidRDefault="00261D2A">
      <w:pPr>
        <w:rPr>
          <w:rFonts w:ascii="Geometr415 Lt BT" w:hAnsi="Geometr415 Lt BT"/>
        </w:rPr>
      </w:pPr>
    </w:p>
    <w:sectPr w:rsidR="00261D2A" w:rsidRPr="00710B25" w:rsidSect="00382D2C">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3E856" w14:textId="77777777" w:rsidR="00B86F7C" w:rsidRDefault="00B86F7C" w:rsidP="00B86F7C">
      <w:pPr>
        <w:spacing w:after="0" w:line="240" w:lineRule="auto"/>
      </w:pPr>
      <w:r>
        <w:separator/>
      </w:r>
    </w:p>
  </w:endnote>
  <w:endnote w:type="continuationSeparator" w:id="0">
    <w:p w14:paraId="2F29DD4E" w14:textId="77777777" w:rsidR="00B86F7C" w:rsidRDefault="00B86F7C" w:rsidP="00B8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E26" w14:textId="2E08FECE" w:rsidR="006333B6" w:rsidRDefault="006333B6">
    <w:pPr>
      <w:pStyle w:val="Footer"/>
    </w:pPr>
    <w:r>
      <w:rPr>
        <w:noProof/>
      </w:rPr>
      <w:drawing>
        <wp:inline distT="0" distB="0" distL="0" distR="0" wp14:anchorId="62453FEF" wp14:editId="4D04038C">
          <wp:extent cx="6838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90C6" w14:textId="77777777" w:rsidR="00B86F7C" w:rsidRDefault="00B86F7C" w:rsidP="00B86F7C">
      <w:pPr>
        <w:spacing w:after="0" w:line="240" w:lineRule="auto"/>
      </w:pPr>
      <w:r>
        <w:separator/>
      </w:r>
    </w:p>
  </w:footnote>
  <w:footnote w:type="continuationSeparator" w:id="0">
    <w:p w14:paraId="28B09F30" w14:textId="77777777" w:rsidR="00B86F7C" w:rsidRDefault="00B86F7C" w:rsidP="00B8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F73D" w14:textId="5459B164" w:rsidR="00C62E03" w:rsidRPr="00710B25" w:rsidRDefault="00C62E03" w:rsidP="00C62E03">
    <w:pPr>
      <w:pStyle w:val="Header"/>
      <w:rPr>
        <w:rFonts w:ascii="Geometr415 Lt BT" w:hAnsi="Geometr415 Lt BT"/>
        <w:b/>
        <w:sz w:val="28"/>
        <w:szCs w:val="28"/>
      </w:rPr>
    </w:pPr>
    <w:r w:rsidRPr="00710B25">
      <w:rPr>
        <w:rFonts w:ascii="Geometr415 Lt BT" w:hAnsi="Geometr415 Lt BT"/>
        <w:noProof/>
      </w:rPr>
      <w:drawing>
        <wp:anchor distT="0" distB="0" distL="114300" distR="114300" simplePos="0" relativeHeight="251658240" behindDoc="0" locked="0" layoutInCell="1" allowOverlap="1" wp14:anchorId="50848DCB" wp14:editId="0FF734C7">
          <wp:simplePos x="0" y="0"/>
          <wp:positionH relativeFrom="margin">
            <wp:align>right</wp:align>
          </wp:positionH>
          <wp:positionV relativeFrom="paragraph">
            <wp:posOffset>-116205</wp:posOffset>
          </wp:positionV>
          <wp:extent cx="1628775" cy="619499"/>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19499"/>
                  </a:xfrm>
                  <a:prstGeom prst="rect">
                    <a:avLst/>
                  </a:prstGeom>
                  <a:noFill/>
                  <a:ln>
                    <a:noFill/>
                  </a:ln>
                </pic:spPr>
              </pic:pic>
            </a:graphicData>
          </a:graphic>
        </wp:anchor>
      </w:drawing>
    </w:r>
    <w:r w:rsidRPr="00710B25">
      <w:rPr>
        <w:rFonts w:ascii="Geometr415 Lt BT" w:hAnsi="Geometr415 Lt BT"/>
        <w:b/>
        <w:sz w:val="28"/>
        <w:szCs w:val="28"/>
      </w:rPr>
      <w:t>A tool for self-evaluation for Religious Education</w:t>
    </w:r>
  </w:p>
  <w:p w14:paraId="699DAE6F" w14:textId="37C1955D" w:rsidR="00C62E03" w:rsidRDefault="00C62E03" w:rsidP="00C62E03">
    <w:pPr>
      <w:pStyle w:val="Header"/>
      <w:rPr>
        <w:b/>
      </w:rPr>
    </w:pPr>
    <w:r w:rsidRPr="00710B25">
      <w:rPr>
        <w:rFonts w:ascii="Geometr415 Lt BT" w:hAnsi="Geometr415 Lt BT"/>
        <w:b/>
      </w:rPr>
      <w:t>How well pupils achieve and enjoy their learning in Religious Education</w:t>
    </w:r>
  </w:p>
  <w:p w14:paraId="3FD9FF2A" w14:textId="16E7C412" w:rsidR="00B86F7C" w:rsidRDefault="00B86F7C" w:rsidP="00B86F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3B"/>
    <w:rsid w:val="00261D2A"/>
    <w:rsid w:val="00382D2C"/>
    <w:rsid w:val="006223E8"/>
    <w:rsid w:val="006333B6"/>
    <w:rsid w:val="00710B25"/>
    <w:rsid w:val="00A955BC"/>
    <w:rsid w:val="00B86F7C"/>
    <w:rsid w:val="00C62E03"/>
    <w:rsid w:val="00F32A3B"/>
    <w:rsid w:val="00F80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D8AD2"/>
  <w15:chartTrackingRefBased/>
  <w15:docId w15:val="{A044858E-6BDF-4BF7-AEC4-E10A487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A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A3B"/>
  </w:style>
  <w:style w:type="paragraph" w:styleId="ListParagraph">
    <w:name w:val="List Paragraph"/>
    <w:basedOn w:val="Normal"/>
    <w:uiPriority w:val="34"/>
    <w:qFormat/>
    <w:rsid w:val="00F32A3B"/>
    <w:pPr>
      <w:spacing w:line="254" w:lineRule="auto"/>
      <w:ind w:left="720"/>
      <w:contextualSpacing/>
    </w:pPr>
  </w:style>
  <w:style w:type="table" w:styleId="TableGrid">
    <w:name w:val="Table Grid"/>
    <w:basedOn w:val="TableNormal"/>
    <w:uiPriority w:val="39"/>
    <w:rsid w:val="00F3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6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5EB91-9BEB-4DB8-9494-31571A93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2592F-4309-47B7-B099-0EFFD3E7142A}">
  <ds:schemaRefs>
    <ds:schemaRef ds:uri="http://purl.org/dc/terms/"/>
    <ds:schemaRef ds:uri="http://purl.org/dc/dcmitype/"/>
    <ds:schemaRef ds:uri="7a91fe27-c972-4eca-a669-87ab608c0386"/>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ec179ec-5849-4d27-a419-67c4ef7310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F358DE-1885-4480-BBE4-D07612C57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4</cp:revision>
  <dcterms:created xsi:type="dcterms:W3CDTF">2022-01-26T12:56:00Z</dcterms:created>
  <dcterms:modified xsi:type="dcterms:W3CDTF">2022-02-03T16:11:00Z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